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763" w:type="dxa"/>
        <w:tblLook w:val="04A0" w:firstRow="1" w:lastRow="0" w:firstColumn="1" w:lastColumn="0" w:noHBand="0" w:noVBand="1"/>
      </w:tblPr>
      <w:tblGrid>
        <w:gridCol w:w="1479"/>
      </w:tblGrid>
      <w:tr w:rsidR="00EE7424" w:rsidTr="00977A6C">
        <w:tc>
          <w:tcPr>
            <w:tcW w:w="1479" w:type="dxa"/>
            <w:tcBorders>
              <w:top w:val="nil"/>
              <w:left w:val="nil"/>
              <w:bottom w:val="nil"/>
              <w:right w:val="nil"/>
            </w:tcBorders>
            <w:vAlign w:val="center"/>
          </w:tcPr>
          <w:p w:rsidR="00EE7424" w:rsidRDefault="00977A6C" w:rsidP="00977A6C">
            <w:pPr>
              <w:jc w:val="center"/>
              <w:rPr>
                <w:b/>
                <w:sz w:val="36"/>
                <w:szCs w:val="36"/>
              </w:rPr>
            </w:pPr>
            <w:r w:rsidRPr="00EE7424">
              <w:rPr>
                <w:b/>
                <w:noProof/>
                <w:sz w:val="36"/>
                <w:szCs w:val="36"/>
                <w:lang w:eastAsia="en-GB"/>
              </w:rPr>
              <mc:AlternateContent>
                <mc:Choice Requires="wps">
                  <w:drawing>
                    <wp:anchor distT="0" distB="0" distL="114300" distR="114300" simplePos="0" relativeHeight="251659264" behindDoc="0" locked="0" layoutInCell="1" allowOverlap="1" wp14:anchorId="54919651" wp14:editId="704093EA">
                      <wp:simplePos x="0" y="0"/>
                      <wp:positionH relativeFrom="column">
                        <wp:posOffset>-4948555</wp:posOffset>
                      </wp:positionH>
                      <wp:positionV relativeFrom="paragraph">
                        <wp:posOffset>-132080</wp:posOffset>
                      </wp:positionV>
                      <wp:extent cx="2660650" cy="135255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352550"/>
                              </a:xfrm>
                              <a:prstGeom prst="rect">
                                <a:avLst/>
                              </a:prstGeom>
                              <a:solidFill>
                                <a:srgbClr val="FFFFFF"/>
                              </a:solidFill>
                              <a:ln w="9525">
                                <a:noFill/>
                                <a:miter lim="800000"/>
                                <a:headEnd/>
                                <a:tailEnd/>
                              </a:ln>
                            </wps:spPr>
                            <wps:txbx>
                              <w:txbxContent>
                                <w:p w:rsidR="00EE7424" w:rsidRPr="00FA465D" w:rsidRDefault="00EE7424" w:rsidP="00EE7424">
                                  <w:pPr>
                                    <w:spacing w:after="120" w:line="240" w:lineRule="auto"/>
                                    <w:rPr>
                                      <w:b/>
                                      <w:sz w:val="36"/>
                                      <w:szCs w:val="36"/>
                                    </w:rPr>
                                  </w:pPr>
                                  <w:r w:rsidRPr="00FA465D">
                                    <w:rPr>
                                      <w:b/>
                                      <w:sz w:val="36"/>
                                      <w:szCs w:val="36"/>
                                    </w:rPr>
                                    <w:t xml:space="preserve">Community Pharmacy </w:t>
                                  </w:r>
                                </w:p>
                                <w:p w:rsidR="00EE7424" w:rsidRPr="00EE7424" w:rsidRDefault="004E7987" w:rsidP="00EE7424">
                                  <w:pPr>
                                    <w:spacing w:after="120" w:line="240" w:lineRule="auto"/>
                                    <w:rPr>
                                      <w:b/>
                                      <w:sz w:val="36"/>
                                      <w:szCs w:val="36"/>
                                    </w:rPr>
                                  </w:pPr>
                                  <w:r>
                                    <w:rPr>
                                      <w:b/>
                                      <w:sz w:val="36"/>
                                      <w:szCs w:val="36"/>
                                    </w:rPr>
                                    <w:t>Briefing Document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9.65pt;margin-top:-10.4pt;width:209.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" stroked="f">
                      <v:textbox>
                        <w:txbxContent>
                          <w:p w:rsidR="00EE7424" w:rsidRPr="00FA465D" w:rsidRDefault="00EE7424" w:rsidP="00EE7424">
                            <w:pPr>
                              <w:spacing w:after="120" w:line="240" w:lineRule="auto"/>
                              <w:rPr>
                                <w:b/>
                                <w:sz w:val="36"/>
                                <w:szCs w:val="36"/>
                              </w:rPr>
                            </w:pPr>
                            <w:r w:rsidRPr="00FA465D">
                              <w:rPr>
                                <w:b/>
                                <w:sz w:val="36"/>
                                <w:szCs w:val="36"/>
                              </w:rPr>
                              <w:t xml:space="preserve">Community Pharmacy </w:t>
                            </w:r>
                          </w:p>
                          <w:p w:rsidR="00EE7424" w:rsidRPr="00EE7424" w:rsidRDefault="004E7987" w:rsidP="00EE7424">
                            <w:pPr>
                              <w:spacing w:after="120" w:line="240" w:lineRule="auto"/>
                              <w:rPr>
                                <w:b/>
                                <w:sz w:val="36"/>
                                <w:szCs w:val="36"/>
                              </w:rPr>
                            </w:pPr>
                            <w:r>
                              <w:rPr>
                                <w:b/>
                                <w:sz w:val="36"/>
                                <w:szCs w:val="36"/>
                              </w:rPr>
                              <w:t>Briefing Document</w:t>
                            </w:r>
                          </w:p>
                        </w:txbxContent>
                      </v:textbox>
                    </v:shape>
                  </w:pict>
                </mc:Fallback>
              </mc:AlternateContent>
            </w:r>
            <w:r>
              <w:rPr>
                <w:b/>
                <w:noProof/>
                <w:sz w:val="36"/>
                <w:szCs w:val="36"/>
                <w:lang w:eastAsia="en-GB"/>
              </w:rPr>
              <w:drawing>
                <wp:inline distT="0" distB="0" distL="0" distR="0" wp14:anchorId="71952504" wp14:editId="01B9EBA4">
                  <wp:extent cx="723600" cy="4788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C logo (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600" cy="478800"/>
                          </a:xfrm>
                          <a:prstGeom prst="rect">
                            <a:avLst/>
                          </a:prstGeom>
                        </pic:spPr>
                      </pic:pic>
                    </a:graphicData>
                  </a:graphic>
                </wp:inline>
              </w:drawing>
            </w:r>
            <w:r w:rsidR="000128C5">
              <w:rPr>
                <w:b/>
                <w:sz w:val="36"/>
                <w:szCs w:val="36"/>
              </w:rPr>
              <w:t xml:space="preserve">            </w:t>
            </w:r>
            <w:r w:rsidR="00EE7424">
              <w:rPr>
                <w:b/>
                <w:sz w:val="36"/>
                <w:szCs w:val="36"/>
              </w:rPr>
              <w:t xml:space="preserve"> </w:t>
            </w:r>
          </w:p>
        </w:tc>
      </w:tr>
      <w:tr w:rsidR="00EE7424" w:rsidTr="00977A6C">
        <w:tc>
          <w:tcPr>
            <w:tcW w:w="1479" w:type="dxa"/>
            <w:tcBorders>
              <w:top w:val="nil"/>
              <w:left w:val="nil"/>
              <w:bottom w:val="nil"/>
              <w:right w:val="nil"/>
            </w:tcBorders>
            <w:vAlign w:val="center"/>
          </w:tcPr>
          <w:p w:rsidR="00EE7424" w:rsidRDefault="00977A6C" w:rsidP="00977A6C">
            <w:pPr>
              <w:jc w:val="center"/>
              <w:rPr>
                <w:b/>
                <w:sz w:val="36"/>
                <w:szCs w:val="36"/>
              </w:rPr>
            </w:pPr>
            <w:r>
              <w:rPr>
                <w:b/>
                <w:noProof/>
                <w:lang w:eastAsia="en-GB"/>
              </w:rPr>
              <w:drawing>
                <wp:inline distT="0" distB="0" distL="0" distR="0" wp14:anchorId="7BE54D26" wp14:editId="26CD9E6C">
                  <wp:extent cx="654685" cy="4679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nc-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4685" cy="467995"/>
                          </a:xfrm>
                          <a:prstGeom prst="rect">
                            <a:avLst/>
                          </a:prstGeom>
                        </pic:spPr>
                      </pic:pic>
                    </a:graphicData>
                  </a:graphic>
                </wp:inline>
              </w:drawing>
            </w:r>
          </w:p>
        </w:tc>
      </w:tr>
    </w:tbl>
    <w:p w:rsidR="009B1441" w:rsidRDefault="009B1441" w:rsidP="00EE7424">
      <w:pPr>
        <w:spacing w:after="120" w:line="240" w:lineRule="auto"/>
        <w:rPr>
          <w:b/>
          <w:highlight w:val="yellow"/>
        </w:rPr>
      </w:pPr>
    </w:p>
    <w:p w:rsidR="006D2BAB" w:rsidRDefault="006D2BAB" w:rsidP="00992ABA">
      <w:pPr>
        <w:spacing w:after="0" w:line="240" w:lineRule="auto"/>
        <w:rPr>
          <w:b/>
        </w:rPr>
      </w:pPr>
      <w:r w:rsidRPr="006D2BAB">
        <w:rPr>
          <w:b/>
          <w:highlight w:val="yellow"/>
        </w:rPr>
        <w:t xml:space="preserve">NB. – </w:t>
      </w:r>
      <w:r w:rsidR="004E7987">
        <w:rPr>
          <w:b/>
          <w:highlight w:val="yellow"/>
        </w:rPr>
        <w:t>LPCs and pharmacy contractors should try to t</w:t>
      </w:r>
      <w:r w:rsidRPr="006D2BAB">
        <w:rPr>
          <w:b/>
          <w:highlight w:val="yellow"/>
        </w:rPr>
        <w:t xml:space="preserve">ailor </w:t>
      </w:r>
      <w:r w:rsidR="004E7987">
        <w:rPr>
          <w:b/>
          <w:highlight w:val="yellow"/>
        </w:rPr>
        <w:t xml:space="preserve">this document </w:t>
      </w:r>
      <w:r w:rsidRPr="006D2BAB">
        <w:rPr>
          <w:b/>
          <w:highlight w:val="yellow"/>
        </w:rPr>
        <w:t>to local circumstances</w:t>
      </w:r>
      <w:r w:rsidR="004E7987">
        <w:rPr>
          <w:b/>
          <w:highlight w:val="yellow"/>
        </w:rPr>
        <w:t>, including examples of how pharmacies have made a difference to patient care and how local services are helping communities,</w:t>
      </w:r>
      <w:r w:rsidRPr="006D2BAB">
        <w:rPr>
          <w:b/>
          <w:highlight w:val="yellow"/>
        </w:rPr>
        <w:t xml:space="preserve"> before printing!</w:t>
      </w:r>
    </w:p>
    <w:p w:rsidR="009B1441" w:rsidRPr="00992ABA" w:rsidRDefault="009B1441" w:rsidP="00992ABA">
      <w:pPr>
        <w:spacing w:after="0" w:line="240" w:lineRule="auto"/>
        <w:jc w:val="both"/>
        <w:rPr>
          <w:b/>
        </w:rPr>
      </w:pPr>
    </w:p>
    <w:p w:rsidR="009B1441" w:rsidRPr="009B1441" w:rsidRDefault="009B1441" w:rsidP="00992ABA">
      <w:pPr>
        <w:spacing w:after="0" w:line="240" w:lineRule="auto"/>
        <w:jc w:val="both"/>
        <w:outlineLvl w:val="2"/>
        <w:rPr>
          <w:rFonts w:eastAsia="Times New Roman" w:cs="Times New Roman"/>
          <w:b/>
          <w:sz w:val="24"/>
          <w:szCs w:val="24"/>
          <w:lang w:eastAsia="en-GB"/>
        </w:rPr>
      </w:pPr>
      <w:r>
        <w:rPr>
          <w:rFonts w:eastAsia="Times New Roman" w:cs="Times New Roman"/>
          <w:b/>
          <w:sz w:val="24"/>
          <w:szCs w:val="24"/>
          <w:lang w:eastAsia="en-GB"/>
        </w:rPr>
        <w:t>Introduction</w:t>
      </w:r>
    </w:p>
    <w:p w:rsidR="009B1441" w:rsidRPr="0079177F" w:rsidRDefault="009B1441" w:rsidP="00992ABA">
      <w:pPr>
        <w:spacing w:after="0" w:line="240" w:lineRule="auto"/>
        <w:jc w:val="both"/>
        <w:outlineLvl w:val="2"/>
        <w:rPr>
          <w:rFonts w:cs="Helvetica"/>
        </w:rPr>
      </w:pPr>
      <w:r w:rsidRPr="0079177F">
        <w:rPr>
          <w:rFonts w:eastAsia="Times New Roman" w:cs="Times New Roman"/>
          <w:lang w:eastAsia="en-GB"/>
        </w:rPr>
        <w:t>On 17th December 2</w:t>
      </w:r>
      <w:r>
        <w:rPr>
          <w:rFonts w:eastAsia="Times New Roman" w:cs="Times New Roman"/>
          <w:lang w:eastAsia="en-GB"/>
        </w:rPr>
        <w:t>015</w:t>
      </w:r>
      <w:r w:rsidRPr="0079177F">
        <w:rPr>
          <w:rFonts w:eastAsia="Times New Roman" w:cs="Times New Roman"/>
          <w:lang w:eastAsia="en-GB"/>
        </w:rPr>
        <w:t xml:space="preserve"> </w:t>
      </w:r>
      <w:r w:rsidR="009750DD">
        <w:rPr>
          <w:rFonts w:cs="Helvetica"/>
        </w:rPr>
        <w:t>the G</w:t>
      </w:r>
      <w:r w:rsidRPr="0079177F">
        <w:rPr>
          <w:rFonts w:cs="Helvetica"/>
        </w:rPr>
        <w:t>overnment announced a number of plans for community pharmacy. The proposals included a £170m reduction in funding for community pharmacy in 2016/17.</w:t>
      </w:r>
      <w:r w:rsidR="005F41E5">
        <w:rPr>
          <w:rFonts w:cs="Helvetica"/>
        </w:rPr>
        <w:t xml:space="preserve"> Since publication of the letter i</w:t>
      </w:r>
      <w:r w:rsidRPr="0079177F">
        <w:rPr>
          <w:rFonts w:cs="Helvetica"/>
        </w:rPr>
        <w:t>t has also become clear that</w:t>
      </w:r>
      <w:r>
        <w:rPr>
          <w:rFonts w:cs="Helvetica"/>
        </w:rPr>
        <w:t xml:space="preserve"> </w:t>
      </w:r>
      <w:r w:rsidR="005F41E5">
        <w:rPr>
          <w:rFonts w:cs="Helvetica"/>
        </w:rPr>
        <w:t>as many as 3,000 pharmacies may close</w:t>
      </w:r>
      <w:r w:rsidRPr="0079177F">
        <w:rPr>
          <w:rFonts w:cs="Helvetica"/>
        </w:rPr>
        <w:t xml:space="preserve">, </w:t>
      </w:r>
      <w:r w:rsidR="005F41E5">
        <w:rPr>
          <w:rFonts w:cs="Helvetica"/>
        </w:rPr>
        <w:t xml:space="preserve">that </w:t>
      </w:r>
      <w:r>
        <w:rPr>
          <w:rFonts w:cs="Helvetica"/>
        </w:rPr>
        <w:t xml:space="preserve">key </w:t>
      </w:r>
      <w:r w:rsidRPr="0079177F">
        <w:rPr>
          <w:rFonts w:cs="Helvetica"/>
        </w:rPr>
        <w:t>payments</w:t>
      </w:r>
      <w:r>
        <w:rPr>
          <w:rFonts w:cs="Helvetica"/>
        </w:rPr>
        <w:t xml:space="preserve"> for pharmacies</w:t>
      </w:r>
      <w:r w:rsidR="005F41E5">
        <w:rPr>
          <w:rFonts w:cs="Helvetica"/>
        </w:rPr>
        <w:t xml:space="preserve"> will be phased out</w:t>
      </w:r>
      <w:r w:rsidRPr="0079177F">
        <w:rPr>
          <w:rFonts w:cs="Helvetica"/>
        </w:rPr>
        <w:t xml:space="preserve">, and </w:t>
      </w:r>
      <w:r w:rsidR="005F41E5">
        <w:rPr>
          <w:rFonts w:cs="Helvetica"/>
        </w:rPr>
        <w:t>that there may be a drive</w:t>
      </w:r>
      <w:r w:rsidRPr="0079177F">
        <w:rPr>
          <w:rFonts w:cs="Helvetica"/>
        </w:rPr>
        <w:t xml:space="preserve"> towards a commoditised</w:t>
      </w:r>
      <w:r>
        <w:rPr>
          <w:rFonts w:cs="Helvetica"/>
        </w:rPr>
        <w:t xml:space="preserve"> medicines</w:t>
      </w:r>
      <w:r w:rsidRPr="0079177F">
        <w:rPr>
          <w:rFonts w:cs="Helvetica"/>
        </w:rPr>
        <w:t xml:space="preserve"> supply service with an increased focus on warehouse dispensing and online services.</w:t>
      </w:r>
    </w:p>
    <w:p w:rsidR="009B1441" w:rsidRPr="0079177F" w:rsidRDefault="009B1441" w:rsidP="00992ABA">
      <w:pPr>
        <w:spacing w:after="0" w:line="240" w:lineRule="auto"/>
        <w:jc w:val="both"/>
        <w:outlineLvl w:val="2"/>
        <w:rPr>
          <w:rFonts w:cs="Helvetica"/>
        </w:rPr>
      </w:pPr>
    </w:p>
    <w:p w:rsidR="009B1441" w:rsidRPr="0079177F" w:rsidRDefault="009B1441" w:rsidP="00992ABA">
      <w:pPr>
        <w:spacing w:after="0" w:line="240" w:lineRule="auto"/>
        <w:jc w:val="both"/>
        <w:outlineLvl w:val="2"/>
        <w:rPr>
          <w:rFonts w:cs="Helvetica"/>
        </w:rPr>
      </w:pPr>
      <w:r>
        <w:rPr>
          <w:rFonts w:cs="Helvetica"/>
        </w:rPr>
        <w:t xml:space="preserve">The national </w:t>
      </w:r>
      <w:r w:rsidRPr="0079177F">
        <w:rPr>
          <w:rFonts w:cs="Helvetica"/>
        </w:rPr>
        <w:t>pharmacy organisations believe the proposals pose significant threats to both the community pharmacy network and patient care</w:t>
      </w:r>
      <w:r>
        <w:rPr>
          <w:rFonts w:cs="Helvetica"/>
        </w:rPr>
        <w:t>, and we are w</w:t>
      </w:r>
      <w:r w:rsidR="005F41E5">
        <w:rPr>
          <w:rFonts w:cs="Helvetica"/>
        </w:rPr>
        <w:t>orking together to seek support.</w:t>
      </w:r>
    </w:p>
    <w:p w:rsidR="009B1441" w:rsidRPr="00992ABA" w:rsidRDefault="009B1441" w:rsidP="00992ABA">
      <w:pPr>
        <w:spacing w:after="0" w:line="240" w:lineRule="auto"/>
        <w:jc w:val="both"/>
      </w:pPr>
    </w:p>
    <w:p w:rsidR="006D2BAB" w:rsidRPr="00FA465D" w:rsidRDefault="00B36C19" w:rsidP="00992ABA">
      <w:pPr>
        <w:spacing w:after="0" w:line="240" w:lineRule="auto"/>
        <w:jc w:val="both"/>
        <w:rPr>
          <w:b/>
          <w:sz w:val="24"/>
        </w:rPr>
      </w:pPr>
      <w:r>
        <w:rPr>
          <w:b/>
          <w:sz w:val="24"/>
        </w:rPr>
        <w:t>Pharmacies are a valuable and valued resource</w:t>
      </w:r>
    </w:p>
    <w:p w:rsidR="005F41E5" w:rsidRDefault="005F41E5" w:rsidP="002A1A79">
      <w:pPr>
        <w:numPr>
          <w:ilvl w:val="0"/>
          <w:numId w:val="8"/>
        </w:numPr>
        <w:spacing w:after="0" w:line="240" w:lineRule="auto"/>
        <w:ind w:left="709" w:hanging="283"/>
        <w:jc w:val="both"/>
      </w:pPr>
      <w:r>
        <w:t>People in England make</w:t>
      </w:r>
      <w:r w:rsidRPr="000F3D5C">
        <w:t xml:space="preserve"> 1.6 million visits to community pharmacies every day.</w:t>
      </w:r>
      <w:r w:rsidR="0043179C">
        <w:rPr>
          <w:rStyle w:val="EndnoteReference"/>
        </w:rPr>
        <w:endnoteReference w:id="1"/>
      </w:r>
    </w:p>
    <w:p w:rsidR="005F41E5" w:rsidRDefault="005F41E5" w:rsidP="002A1A79">
      <w:pPr>
        <w:numPr>
          <w:ilvl w:val="0"/>
          <w:numId w:val="8"/>
        </w:numPr>
        <w:spacing w:after="0" w:line="240" w:lineRule="auto"/>
        <w:ind w:left="709" w:hanging="283"/>
        <w:jc w:val="both"/>
      </w:pPr>
      <w:r>
        <w:t>As well as dispensing medicines community pharmacy teams</w:t>
      </w:r>
      <w:r w:rsidRPr="000F3D5C">
        <w:t xml:space="preserve"> help </w:t>
      </w:r>
      <w:r>
        <w:t xml:space="preserve">people </w:t>
      </w:r>
      <w:r w:rsidRPr="000F3D5C">
        <w:t>to stay w</w:t>
      </w:r>
      <w:r>
        <w:t>ell and out of the GP’s surgery, to get the most benefit from their medicines, and to manage their health conditions.</w:t>
      </w:r>
    </w:p>
    <w:p w:rsidR="005F41E5" w:rsidRDefault="005F41E5" w:rsidP="002A1A79">
      <w:pPr>
        <w:numPr>
          <w:ilvl w:val="0"/>
          <w:numId w:val="8"/>
        </w:numPr>
        <w:spacing w:after="0" w:line="240" w:lineRule="auto"/>
        <w:ind w:left="709" w:hanging="283"/>
        <w:jc w:val="both"/>
      </w:pPr>
      <w:r>
        <w:t xml:space="preserve">Pharmacies are easy to access and form part of the fabric of local communities. Pharmacy teams regularly go the extra mile for patients, the public and the NHS </w:t>
      </w:r>
      <w:r w:rsidRPr="005F41E5">
        <w:rPr>
          <w:highlight w:val="yellow"/>
        </w:rPr>
        <w:t>(utilise local anecdotes*).</w:t>
      </w:r>
    </w:p>
    <w:p w:rsidR="005F41E5" w:rsidRDefault="005F41E5" w:rsidP="002A1A79">
      <w:pPr>
        <w:numPr>
          <w:ilvl w:val="0"/>
          <w:numId w:val="8"/>
        </w:numPr>
        <w:spacing w:after="0" w:line="240" w:lineRule="auto"/>
        <w:ind w:left="709" w:hanging="283"/>
        <w:jc w:val="both"/>
      </w:pPr>
      <w:r>
        <w:t xml:space="preserve">The NHS </w:t>
      </w:r>
      <w:r w:rsidRPr="000F3D5C">
        <w:t>spend</w:t>
      </w:r>
      <w:r>
        <w:t>s</w:t>
      </w:r>
      <w:r w:rsidRPr="000F3D5C">
        <w:t xml:space="preserve"> £2bn per year on GP consultations for conditions </w:t>
      </w:r>
      <w:r>
        <w:t>which pharmacy teams</w:t>
      </w:r>
      <w:r w:rsidRPr="000F3D5C">
        <w:t xml:space="preserve"> could treat.</w:t>
      </w:r>
      <w:r w:rsidR="0043179C">
        <w:rPr>
          <w:rStyle w:val="EndnoteReference"/>
        </w:rPr>
        <w:endnoteReference w:id="2"/>
      </w:r>
    </w:p>
    <w:p w:rsidR="005F41E5" w:rsidRDefault="005F41E5" w:rsidP="002A1A79">
      <w:pPr>
        <w:numPr>
          <w:ilvl w:val="0"/>
          <w:numId w:val="8"/>
        </w:numPr>
        <w:spacing w:after="0" w:line="240" w:lineRule="auto"/>
        <w:ind w:left="709" w:hanging="283"/>
        <w:jc w:val="both"/>
      </w:pPr>
      <w:r>
        <w:t>96% of the population can reach a pharmacy within 20 minutes by walking or using public transport.</w:t>
      </w:r>
    </w:p>
    <w:p w:rsidR="005F41E5" w:rsidRDefault="005F41E5" w:rsidP="002A1A79">
      <w:pPr>
        <w:numPr>
          <w:ilvl w:val="0"/>
          <w:numId w:val="8"/>
        </w:numPr>
        <w:spacing w:after="0" w:line="240" w:lineRule="auto"/>
        <w:ind w:left="709" w:hanging="283"/>
        <w:jc w:val="both"/>
      </w:pPr>
      <w:r>
        <w:t>More than 1 billion prescription items are dispensed by community pharmacies every year.</w:t>
      </w:r>
    </w:p>
    <w:p w:rsidR="005F41E5" w:rsidRDefault="005F41E5" w:rsidP="002A1A79">
      <w:pPr>
        <w:numPr>
          <w:ilvl w:val="0"/>
          <w:numId w:val="8"/>
        </w:numPr>
        <w:spacing w:after="0" w:line="240" w:lineRule="auto"/>
        <w:ind w:left="709" w:hanging="283"/>
        <w:jc w:val="both"/>
      </w:pPr>
      <w:r>
        <w:t>Pharmacies delivered more than 3.17 million medicines use reviews to help people to understand and take their medicines correctly in 2014/15.</w:t>
      </w:r>
    </w:p>
    <w:p w:rsidR="005F41E5" w:rsidRDefault="005F41E5" w:rsidP="002A1A79">
      <w:pPr>
        <w:numPr>
          <w:ilvl w:val="0"/>
          <w:numId w:val="8"/>
        </w:numPr>
        <w:spacing w:after="0" w:line="240" w:lineRule="auto"/>
        <w:ind w:left="709" w:hanging="283"/>
        <w:jc w:val="both"/>
      </w:pPr>
      <w:r>
        <w:t>Community pharmacies help us to stay well and prevent unnecessary visit to the GP’s surgery and A&amp;E. For example, pharmacy services supporting frail elderly people after hospital discharge have reduced re-admittance by 63%.</w:t>
      </w:r>
      <w:r w:rsidR="0043179C">
        <w:rPr>
          <w:rStyle w:val="EndnoteReference"/>
        </w:rPr>
        <w:endnoteReference w:id="3"/>
      </w:r>
    </w:p>
    <w:p w:rsidR="005F41E5" w:rsidRDefault="005F41E5" w:rsidP="002A1A79">
      <w:pPr>
        <w:numPr>
          <w:ilvl w:val="0"/>
          <w:numId w:val="8"/>
        </w:numPr>
        <w:spacing w:after="0" w:line="240" w:lineRule="auto"/>
        <w:ind w:left="709" w:hanging="283"/>
        <w:jc w:val="both"/>
      </w:pPr>
      <w:r>
        <w:t>Community pharmacy can and should do much more. A community pharmacy minor ailments service could save the NHS £1bn per year through reduced GP appointments.</w:t>
      </w:r>
      <w:bookmarkStart w:id="0" w:name="_GoBack"/>
      <w:bookmarkEnd w:id="0"/>
      <w:r w:rsidR="0043179C">
        <w:rPr>
          <w:rStyle w:val="EndnoteReference"/>
        </w:rPr>
        <w:endnoteReference w:id="4"/>
      </w:r>
    </w:p>
    <w:p w:rsidR="009267B9" w:rsidRPr="00992ABA" w:rsidRDefault="009267B9" w:rsidP="00992ABA">
      <w:pPr>
        <w:spacing w:after="0" w:line="240" w:lineRule="auto"/>
        <w:jc w:val="both"/>
      </w:pPr>
    </w:p>
    <w:p w:rsidR="006D2BAB" w:rsidRPr="00FA465D" w:rsidRDefault="00B36C19" w:rsidP="00992ABA">
      <w:pPr>
        <w:spacing w:after="0" w:line="240" w:lineRule="auto"/>
        <w:jc w:val="both"/>
        <w:rPr>
          <w:b/>
          <w:sz w:val="24"/>
        </w:rPr>
      </w:pPr>
      <w:r>
        <w:rPr>
          <w:b/>
          <w:sz w:val="24"/>
        </w:rPr>
        <w:t>The G</w:t>
      </w:r>
      <w:r w:rsidR="006D2BAB" w:rsidRPr="00FA465D">
        <w:rPr>
          <w:b/>
          <w:sz w:val="24"/>
        </w:rPr>
        <w:t>overnment’s plans threaten</w:t>
      </w:r>
      <w:r>
        <w:rPr>
          <w:b/>
          <w:sz w:val="24"/>
        </w:rPr>
        <w:t xml:space="preserve"> patients’ access to pharmacies and pharmacy services</w:t>
      </w:r>
    </w:p>
    <w:p w:rsidR="006D2BAB" w:rsidRPr="006D2BAB" w:rsidRDefault="00607554" w:rsidP="00992ABA">
      <w:pPr>
        <w:pStyle w:val="ListParagraph"/>
        <w:numPr>
          <w:ilvl w:val="0"/>
          <w:numId w:val="9"/>
        </w:numPr>
        <w:spacing w:after="0" w:line="240" w:lineRule="auto"/>
        <w:contextualSpacing w:val="0"/>
        <w:jc w:val="both"/>
      </w:pPr>
      <w:r>
        <w:t>The G</w:t>
      </w:r>
      <w:r w:rsidR="006D2BAB" w:rsidRPr="006D2BAB">
        <w:t>overnment wants</w:t>
      </w:r>
      <w:r w:rsidR="009267B9">
        <w:t xml:space="preserve"> </w:t>
      </w:r>
      <w:r w:rsidR="006D2BAB" w:rsidRPr="006D2BAB">
        <w:t xml:space="preserve">pharmacies to close. </w:t>
      </w:r>
      <w:r w:rsidR="00B36C19">
        <w:t>The Health Minister has sugge</w:t>
      </w:r>
      <w:r w:rsidR="006D2BAB" w:rsidRPr="006D2BAB">
        <w:t xml:space="preserve">sted that up to 3,000 pharmacies </w:t>
      </w:r>
      <w:r w:rsidR="000128C5">
        <w:t>–</w:t>
      </w:r>
      <w:r w:rsidR="006D2BAB" w:rsidRPr="006D2BAB">
        <w:t xml:space="preserve"> a quarter of pharmacies in England </w:t>
      </w:r>
      <w:r w:rsidR="000128C5">
        <w:t>–</w:t>
      </w:r>
      <w:r w:rsidR="006D2BAB" w:rsidRPr="006D2BAB">
        <w:t xml:space="preserve"> could be forced to close under its plans.</w:t>
      </w:r>
    </w:p>
    <w:p w:rsidR="006D2BAB" w:rsidRPr="006D2BAB" w:rsidRDefault="009750DD" w:rsidP="00992ABA">
      <w:pPr>
        <w:pStyle w:val="ListParagraph"/>
        <w:numPr>
          <w:ilvl w:val="0"/>
          <w:numId w:val="9"/>
        </w:numPr>
        <w:spacing w:after="0" w:line="240" w:lineRule="auto"/>
        <w:contextualSpacing w:val="0"/>
        <w:jc w:val="both"/>
      </w:pPr>
      <w:r>
        <w:t>The G</w:t>
      </w:r>
      <w:r w:rsidR="006D2BAB" w:rsidRPr="006D2BAB">
        <w:t xml:space="preserve">overnment says </w:t>
      </w:r>
      <w:r w:rsidR="009267B9">
        <w:t xml:space="preserve">it wants a ‘clinically-focused’ </w:t>
      </w:r>
      <w:r w:rsidR="00B36C19">
        <w:t xml:space="preserve">community </w:t>
      </w:r>
      <w:r w:rsidR="009267B9">
        <w:t>pharmacy service</w:t>
      </w:r>
      <w:r w:rsidR="00B36C19">
        <w:t xml:space="preserve"> and to optimise the use of medicines. Community pharmacy is always open to discussions on changes that demonstrably support these objectives.</w:t>
      </w:r>
    </w:p>
    <w:p w:rsidR="006D2BAB" w:rsidRDefault="006D2BAB" w:rsidP="00992ABA">
      <w:pPr>
        <w:pStyle w:val="ListParagraph"/>
        <w:numPr>
          <w:ilvl w:val="0"/>
          <w:numId w:val="9"/>
        </w:numPr>
        <w:spacing w:after="0" w:line="240" w:lineRule="auto"/>
        <w:contextualSpacing w:val="0"/>
        <w:jc w:val="both"/>
      </w:pPr>
      <w:r w:rsidRPr="006D2BAB">
        <w:lastRenderedPageBreak/>
        <w:t>The network underpinning the supply of medicines is complex an</w:t>
      </w:r>
      <w:r w:rsidR="00B36C19">
        <w:t>d fragile. The G</w:t>
      </w:r>
      <w:r w:rsidRPr="006D2BAB">
        <w:t>overnment has proposed a blanket cut in funding that will hav</w:t>
      </w:r>
      <w:r w:rsidR="009267B9">
        <w:t xml:space="preserve">e unpredictable consequences. </w:t>
      </w:r>
      <w:r w:rsidR="00B36C19">
        <w:t>It has not yet confirmed the full extent</w:t>
      </w:r>
      <w:r w:rsidR="00607554">
        <w:t xml:space="preserve"> of the cuts</w:t>
      </w:r>
      <w:r w:rsidR="00B36C19">
        <w:t xml:space="preserve"> for future years</w:t>
      </w:r>
      <w:r w:rsidR="009267B9">
        <w:t>.</w:t>
      </w:r>
    </w:p>
    <w:p w:rsidR="00992ABA" w:rsidRPr="006D2BAB" w:rsidRDefault="00992ABA" w:rsidP="00992ABA">
      <w:pPr>
        <w:spacing w:after="0" w:line="240" w:lineRule="auto"/>
        <w:jc w:val="both"/>
      </w:pPr>
    </w:p>
    <w:p w:rsidR="006D2BAB" w:rsidRPr="00FA465D" w:rsidRDefault="006D2BAB" w:rsidP="00992ABA">
      <w:pPr>
        <w:spacing w:after="0" w:line="240" w:lineRule="auto"/>
        <w:jc w:val="both"/>
        <w:rPr>
          <w:b/>
          <w:sz w:val="24"/>
        </w:rPr>
      </w:pPr>
      <w:r w:rsidRPr="00FA465D">
        <w:rPr>
          <w:b/>
          <w:sz w:val="24"/>
        </w:rPr>
        <w:t xml:space="preserve">The implications for patient care have not been properly considered and may be damaging </w:t>
      </w:r>
    </w:p>
    <w:p w:rsidR="006D2BAB" w:rsidRDefault="00B36C19" w:rsidP="00992ABA">
      <w:pPr>
        <w:pStyle w:val="ListParagraph"/>
        <w:numPr>
          <w:ilvl w:val="0"/>
          <w:numId w:val="10"/>
        </w:numPr>
        <w:spacing w:after="0" w:line="240" w:lineRule="auto"/>
        <w:contextualSpacing w:val="0"/>
        <w:jc w:val="both"/>
      </w:pPr>
      <w:r>
        <w:t>The G</w:t>
      </w:r>
      <w:r w:rsidR="006D2BAB" w:rsidRPr="006D2BAB">
        <w:t>overnment has not conducted an assessment of the impact of its proposals on patient safety</w:t>
      </w:r>
      <w:r>
        <w:t>, or on the quality of care and must commit to doing so. None of the detailed information required for a constructive discussion has been published.</w:t>
      </w:r>
    </w:p>
    <w:p w:rsidR="00B36C19" w:rsidRDefault="00B36C19" w:rsidP="00992ABA">
      <w:pPr>
        <w:pStyle w:val="ListParagraph"/>
        <w:numPr>
          <w:ilvl w:val="0"/>
          <w:numId w:val="10"/>
        </w:numPr>
        <w:spacing w:after="0" w:line="240" w:lineRule="auto"/>
        <w:contextualSpacing w:val="0"/>
        <w:jc w:val="both"/>
      </w:pPr>
      <w:r>
        <w:t>The Government must explain how proposed changes will deliver a clinically-focused community pharmacy service and optimise the use of medicines.</w:t>
      </w:r>
    </w:p>
    <w:p w:rsidR="00B36C19" w:rsidRDefault="00B36C19" w:rsidP="00992ABA">
      <w:pPr>
        <w:pStyle w:val="ListParagraph"/>
        <w:numPr>
          <w:ilvl w:val="0"/>
          <w:numId w:val="10"/>
        </w:numPr>
        <w:spacing w:after="0" w:line="240" w:lineRule="auto"/>
        <w:contextualSpacing w:val="0"/>
        <w:jc w:val="both"/>
      </w:pPr>
      <w:r>
        <w:t>There is strong evidence that pharmacy can reli</w:t>
      </w:r>
      <w:r w:rsidR="00607554">
        <w:t>e</w:t>
      </w:r>
      <w:r>
        <w:t xml:space="preserve">ve the considerable pressure on GP surgeries </w:t>
      </w:r>
      <w:r w:rsidR="00607554">
        <w:t>and A&amp;E. Tria</w:t>
      </w:r>
      <w:r>
        <w:t>ls of a community pharmacy discharge service saw a 63% drop in hospital re-admissions for frail patients.</w:t>
      </w:r>
      <w:r w:rsidR="0043179C">
        <w:rPr>
          <w:rStyle w:val="EndnoteReference"/>
        </w:rPr>
        <w:endnoteReference w:id="5"/>
      </w:r>
      <w:r w:rsidR="0043179C">
        <w:t xml:space="preserve"> </w:t>
      </w:r>
      <w:r>
        <w:t xml:space="preserve"> The Government must demonstrate how changes will help to relieve those pressures.</w:t>
      </w:r>
    </w:p>
    <w:p w:rsidR="006D2BAB" w:rsidRDefault="00B36C19" w:rsidP="00992ABA">
      <w:pPr>
        <w:pStyle w:val="ListParagraph"/>
        <w:numPr>
          <w:ilvl w:val="0"/>
          <w:numId w:val="10"/>
        </w:numPr>
        <w:spacing w:after="0" w:line="240" w:lineRule="auto"/>
        <w:contextualSpacing w:val="0"/>
        <w:jc w:val="both"/>
      </w:pPr>
      <w:r>
        <w:t>The Government must provide detail on how it will ensure access to pharmacy services in remote or deprived communities. Central funding for ‘Essential Pharmacies’ was ended in 2015.</w:t>
      </w:r>
    </w:p>
    <w:p w:rsidR="00B36C19" w:rsidRDefault="00B36C19" w:rsidP="00992ABA">
      <w:pPr>
        <w:pStyle w:val="ListParagraph"/>
        <w:numPr>
          <w:ilvl w:val="0"/>
          <w:numId w:val="10"/>
        </w:numPr>
        <w:spacing w:after="0" w:line="240" w:lineRule="auto"/>
        <w:contextualSpacing w:val="0"/>
        <w:jc w:val="both"/>
      </w:pPr>
      <w:r>
        <w:t>We do not yet understand the implications of hub and spoke dispensing models. It is too early to quantify any potential efficiency savings. Any changes designed to facilitate hub and spoke models must safeguard the quality, efficiency and accessibility of pharmacy services.</w:t>
      </w:r>
    </w:p>
    <w:p w:rsidR="00B36C19" w:rsidRPr="00B36C19" w:rsidRDefault="00B36C19" w:rsidP="00992ABA">
      <w:pPr>
        <w:pStyle w:val="ListParagraph"/>
        <w:numPr>
          <w:ilvl w:val="0"/>
          <w:numId w:val="10"/>
        </w:numPr>
        <w:spacing w:after="0" w:line="240" w:lineRule="auto"/>
        <w:contextualSpacing w:val="0"/>
        <w:jc w:val="both"/>
      </w:pPr>
      <w:r>
        <w:t>GPs have expressed concerns about the plans – the NHS Alliance has called them ‘astonishing’ and ‘extremely short sighted’.</w:t>
      </w:r>
      <w:r w:rsidR="0043179C">
        <w:rPr>
          <w:rStyle w:val="EndnoteReference"/>
        </w:rPr>
        <w:endnoteReference w:id="6"/>
      </w:r>
    </w:p>
    <w:p w:rsidR="00B36C19" w:rsidRDefault="00B36C19" w:rsidP="00992ABA">
      <w:pPr>
        <w:spacing w:after="0" w:line="240" w:lineRule="auto"/>
      </w:pPr>
    </w:p>
    <w:p w:rsidR="00992ABA" w:rsidRPr="00992ABA" w:rsidRDefault="00992ABA" w:rsidP="00992ABA">
      <w:pPr>
        <w:spacing w:after="0" w:line="240" w:lineRule="auto"/>
      </w:pPr>
    </w:p>
    <w:p w:rsidR="006D2BAB" w:rsidRDefault="006D2BAB" w:rsidP="00992ABA">
      <w:pPr>
        <w:spacing w:after="0" w:line="240" w:lineRule="auto"/>
        <w:rPr>
          <w:b/>
          <w:u w:val="single"/>
        </w:rPr>
      </w:pPr>
      <w:r w:rsidRPr="00FA465D">
        <w:rPr>
          <w:b/>
          <w:sz w:val="24"/>
          <w:u w:val="single"/>
        </w:rPr>
        <w:t>See over for next steps and actions for MPs</w:t>
      </w:r>
      <w:r w:rsidR="009267B9">
        <w:rPr>
          <w:b/>
          <w:sz w:val="24"/>
          <w:u w:val="single"/>
        </w:rPr>
        <w:t xml:space="preserve"> and other </w:t>
      </w:r>
      <w:r w:rsidR="003C2BB0">
        <w:rPr>
          <w:b/>
          <w:sz w:val="24"/>
          <w:u w:val="single"/>
        </w:rPr>
        <w:t>stakeholders</w:t>
      </w:r>
      <w:r>
        <w:rPr>
          <w:b/>
          <w:u w:val="single"/>
        </w:rPr>
        <w:br w:type="page"/>
      </w:r>
    </w:p>
    <w:p w:rsidR="006D2BAB" w:rsidRDefault="006D2BAB" w:rsidP="00992ABA">
      <w:pPr>
        <w:spacing w:after="0" w:line="240" w:lineRule="auto"/>
        <w:jc w:val="both"/>
        <w:rPr>
          <w:b/>
          <w:sz w:val="28"/>
          <w:u w:val="single"/>
        </w:rPr>
      </w:pPr>
      <w:r w:rsidRPr="00FA465D">
        <w:rPr>
          <w:b/>
          <w:sz w:val="28"/>
          <w:u w:val="single"/>
        </w:rPr>
        <w:lastRenderedPageBreak/>
        <w:t>Next steps</w:t>
      </w:r>
    </w:p>
    <w:p w:rsidR="009267B9" w:rsidRDefault="009267B9" w:rsidP="00992ABA">
      <w:pPr>
        <w:spacing w:after="0" w:line="240" w:lineRule="auto"/>
        <w:jc w:val="both"/>
      </w:pPr>
      <w:r>
        <w:t>To protect patient care, community pharmacy organisations would like to see the following things happening.</w:t>
      </w:r>
    </w:p>
    <w:p w:rsidR="00992ABA" w:rsidRPr="009267B9" w:rsidRDefault="00992ABA" w:rsidP="00992ABA">
      <w:pPr>
        <w:spacing w:after="0" w:line="240" w:lineRule="auto"/>
        <w:jc w:val="both"/>
      </w:pPr>
    </w:p>
    <w:p w:rsidR="006D2BAB" w:rsidRPr="00FA465D" w:rsidRDefault="00B36C19" w:rsidP="00992ABA">
      <w:pPr>
        <w:numPr>
          <w:ilvl w:val="0"/>
          <w:numId w:val="1"/>
        </w:numPr>
        <w:spacing w:after="0" w:line="240" w:lineRule="auto"/>
        <w:jc w:val="both"/>
        <w:rPr>
          <w:b/>
          <w:sz w:val="24"/>
        </w:rPr>
      </w:pPr>
      <w:r>
        <w:rPr>
          <w:b/>
          <w:sz w:val="24"/>
        </w:rPr>
        <w:t>The G</w:t>
      </w:r>
      <w:r w:rsidR="006D2BAB" w:rsidRPr="00FA465D">
        <w:rPr>
          <w:b/>
          <w:sz w:val="24"/>
        </w:rPr>
        <w:t>overnment must provide more detail</w:t>
      </w:r>
    </w:p>
    <w:p w:rsidR="006D2BAB" w:rsidRPr="006D2BAB" w:rsidRDefault="006D2BAB" w:rsidP="00992ABA">
      <w:pPr>
        <w:spacing w:after="0" w:line="240" w:lineRule="auto"/>
        <w:jc w:val="both"/>
      </w:pPr>
      <w:r w:rsidRPr="006D2BAB">
        <w:t>Community pharmacy is happy to discuss changes to the network that will improve patient care. Pharmacies can do more for patients and save money for the NHS.  That discussion must be bas</w:t>
      </w:r>
      <w:r w:rsidR="00B36C19">
        <w:t>ed on a clearer picture of the G</w:t>
      </w:r>
      <w:r w:rsidRPr="006D2BAB">
        <w:t>overnment’s plans</w:t>
      </w:r>
      <w:r w:rsidR="00B36C19">
        <w:t>, and a mutual commitment to changes that will deliver a clinically-focused community pharmacy service and optimise the use of medicines in the best interest of patients</w:t>
      </w:r>
      <w:r w:rsidRPr="006D2BAB">
        <w:t xml:space="preserve">. </w:t>
      </w:r>
    </w:p>
    <w:p w:rsidR="006D2BAB" w:rsidRPr="006D2BAB" w:rsidRDefault="006D2BAB" w:rsidP="00992ABA">
      <w:pPr>
        <w:spacing w:after="0" w:line="240" w:lineRule="auto"/>
        <w:jc w:val="both"/>
      </w:pPr>
    </w:p>
    <w:p w:rsidR="006D2BAB" w:rsidRPr="00FA465D" w:rsidRDefault="006D2BAB" w:rsidP="00992ABA">
      <w:pPr>
        <w:numPr>
          <w:ilvl w:val="0"/>
          <w:numId w:val="1"/>
        </w:numPr>
        <w:spacing w:after="0" w:line="240" w:lineRule="auto"/>
        <w:jc w:val="both"/>
        <w:rPr>
          <w:b/>
          <w:sz w:val="24"/>
        </w:rPr>
      </w:pPr>
      <w:r w:rsidRPr="00FA465D">
        <w:rPr>
          <w:b/>
          <w:sz w:val="24"/>
        </w:rPr>
        <w:t xml:space="preserve">We must prevent </w:t>
      </w:r>
      <w:r w:rsidR="00B36C19">
        <w:rPr>
          <w:b/>
          <w:sz w:val="24"/>
        </w:rPr>
        <w:t>disruption to patient care</w:t>
      </w:r>
    </w:p>
    <w:p w:rsidR="006D2BAB" w:rsidRPr="006D2BAB" w:rsidRDefault="006D2BAB" w:rsidP="00992ABA">
      <w:pPr>
        <w:spacing w:after="0" w:line="240" w:lineRule="auto"/>
        <w:jc w:val="both"/>
      </w:pPr>
      <w:r w:rsidRPr="006D2BAB">
        <w:t>The plans have created huge uncertainty and anxiety, which puts patient care at risk. The conse</w:t>
      </w:r>
      <w:r w:rsidR="009750DD">
        <w:t>quences are unpredictable. The G</w:t>
      </w:r>
      <w:r w:rsidRPr="006D2BAB">
        <w:t xml:space="preserve">overnment </w:t>
      </w:r>
      <w:r w:rsidR="00B36C19">
        <w:t>must commit to explaining fully how its proposed changes will deliver a clinically-focused community pharmacy service and optimise the use of medicines in the best interests of patients</w:t>
      </w:r>
      <w:r w:rsidRPr="006D2BAB">
        <w:t>.</w:t>
      </w:r>
    </w:p>
    <w:p w:rsidR="006D2BAB" w:rsidRPr="006D2BAB" w:rsidRDefault="006D2BAB" w:rsidP="00992ABA">
      <w:pPr>
        <w:spacing w:after="0" w:line="240" w:lineRule="auto"/>
        <w:jc w:val="both"/>
      </w:pPr>
    </w:p>
    <w:p w:rsidR="006D2BAB" w:rsidRPr="00FA465D" w:rsidRDefault="00B36C19" w:rsidP="00992ABA">
      <w:pPr>
        <w:numPr>
          <w:ilvl w:val="0"/>
          <w:numId w:val="1"/>
        </w:numPr>
        <w:spacing w:after="0" w:line="240" w:lineRule="auto"/>
        <w:jc w:val="both"/>
        <w:rPr>
          <w:b/>
          <w:sz w:val="24"/>
        </w:rPr>
      </w:pPr>
      <w:r>
        <w:rPr>
          <w:b/>
          <w:sz w:val="24"/>
        </w:rPr>
        <w:t>The Government must then entre constructive discussions</w:t>
      </w:r>
    </w:p>
    <w:p w:rsidR="006D2BAB" w:rsidRPr="006D2BAB" w:rsidRDefault="00B36C19" w:rsidP="00992ABA">
      <w:pPr>
        <w:spacing w:after="0" w:line="240" w:lineRule="auto"/>
        <w:jc w:val="both"/>
      </w:pPr>
      <w:r>
        <w:t>Community pharmacy continues to talk to t</w:t>
      </w:r>
      <w:r w:rsidR="006D2BAB" w:rsidRPr="006D2BAB">
        <w:t xml:space="preserve">he </w:t>
      </w:r>
      <w:r>
        <w:t>G</w:t>
      </w:r>
      <w:r w:rsidR="006D2BAB" w:rsidRPr="006D2BAB">
        <w:t xml:space="preserve">overnment </w:t>
      </w:r>
      <w:r>
        <w:t>about its plans, and welcomes a collaborative discussions in the best interests of patients – but this must be based on full disclosure and a mutual commitment to changes that will deliver a clinically-focused community pharmacy service and optimise the sue of medicines in the best interests of patients.</w:t>
      </w:r>
    </w:p>
    <w:p w:rsidR="006D2BAB" w:rsidRDefault="006D2BAB" w:rsidP="00992ABA">
      <w:pPr>
        <w:spacing w:after="0" w:line="240" w:lineRule="auto"/>
        <w:jc w:val="both"/>
      </w:pPr>
    </w:p>
    <w:p w:rsidR="006D2BAB" w:rsidRPr="00FA465D" w:rsidRDefault="003C2BB0" w:rsidP="00992ABA">
      <w:pPr>
        <w:spacing w:after="0" w:line="240" w:lineRule="auto"/>
        <w:jc w:val="both"/>
        <w:rPr>
          <w:b/>
          <w:sz w:val="24"/>
          <w:u w:val="single"/>
        </w:rPr>
      </w:pPr>
      <w:r>
        <w:rPr>
          <w:b/>
          <w:sz w:val="24"/>
          <w:u w:val="single"/>
        </w:rPr>
        <w:t>How can you</w:t>
      </w:r>
      <w:r w:rsidR="006D2BAB" w:rsidRPr="00FA465D">
        <w:rPr>
          <w:b/>
          <w:sz w:val="24"/>
          <w:u w:val="single"/>
        </w:rPr>
        <w:t xml:space="preserve"> help?</w:t>
      </w:r>
    </w:p>
    <w:p w:rsidR="00287071" w:rsidRDefault="003C2BB0" w:rsidP="00992ABA">
      <w:pPr>
        <w:spacing w:after="0" w:line="240" w:lineRule="auto"/>
        <w:jc w:val="both"/>
      </w:pPr>
      <w:r w:rsidRPr="003C2BB0">
        <w:t>Here are some practical steps that you can take now to help.</w:t>
      </w:r>
      <w:r w:rsidR="00287071">
        <w:t xml:space="preserve"> </w:t>
      </w:r>
      <w:r>
        <w:t>As negotiations develop over the coming months, pharmacies may continue to ask for your support.</w:t>
      </w:r>
    </w:p>
    <w:p w:rsidR="00992ABA" w:rsidRDefault="00992ABA" w:rsidP="00992ABA">
      <w:pPr>
        <w:spacing w:after="0" w:line="240" w:lineRule="auto"/>
        <w:jc w:val="both"/>
      </w:pPr>
    </w:p>
    <w:p w:rsidR="003C2BB0" w:rsidRDefault="00287071" w:rsidP="00992ABA">
      <w:pPr>
        <w:spacing w:after="0" w:line="240" w:lineRule="auto"/>
        <w:jc w:val="both"/>
      </w:pPr>
      <w:r>
        <w:t xml:space="preserve">Everyone can help by following us online and on social media – visit </w:t>
      </w:r>
      <w:hyperlink r:id="rId10" w:history="1">
        <w:r w:rsidR="00992ABA">
          <w:rPr>
            <w:rStyle w:val="Hyperlink"/>
          </w:rPr>
          <w:t>supportyourlocalpharmacy.org</w:t>
        </w:r>
      </w:hyperlink>
      <w:r w:rsidR="00C7484D">
        <w:t xml:space="preserve"> an</w:t>
      </w:r>
      <w:r>
        <w:t>d look out for #</w:t>
      </w:r>
      <w:proofErr w:type="spellStart"/>
      <w:r>
        <w:t>lovemypharm</w:t>
      </w:r>
      <w:r w:rsidR="00C7484D">
        <w:t>a</w:t>
      </w:r>
      <w:r>
        <w:t>cy</w:t>
      </w:r>
      <w:proofErr w:type="spellEnd"/>
      <w:r>
        <w:t xml:space="preserve"> updates or share stories of how you</w:t>
      </w:r>
      <w:r w:rsidR="00992ABA">
        <w:t xml:space="preserve">r local pharmacy </w:t>
      </w:r>
      <w:r w:rsidR="00F60399">
        <w:t>h</w:t>
      </w:r>
      <w:r w:rsidR="00992ABA">
        <w:t>as helped you.</w:t>
      </w:r>
      <w:r w:rsidR="00DE52E6">
        <w:t xml:space="preserve"> </w:t>
      </w:r>
      <w:r w:rsidR="00F60399">
        <w:t xml:space="preserve">You can also sign the e-petition at: </w:t>
      </w:r>
      <w:hyperlink r:id="rId11" w:history="1">
        <w:r w:rsidR="00F60399" w:rsidRPr="00F60399">
          <w:rPr>
            <w:rStyle w:val="Hyperlink"/>
          </w:rPr>
          <w:t>https://petition.parliament.uk/petitions/116943</w:t>
        </w:r>
      </w:hyperlink>
    </w:p>
    <w:p w:rsidR="00992ABA" w:rsidRPr="00287071" w:rsidRDefault="00992ABA" w:rsidP="00992ABA">
      <w:pPr>
        <w:spacing w:after="0" w:line="240" w:lineRule="auto"/>
        <w:jc w:val="both"/>
      </w:pPr>
    </w:p>
    <w:p w:rsidR="003C2BB0" w:rsidRPr="003C2BB0" w:rsidRDefault="003C2BB0" w:rsidP="00992ABA">
      <w:pPr>
        <w:spacing w:after="0" w:line="240" w:lineRule="auto"/>
        <w:jc w:val="both"/>
        <w:rPr>
          <w:u w:val="single"/>
        </w:rPr>
      </w:pPr>
      <w:r w:rsidRPr="003C2BB0">
        <w:rPr>
          <w:u w:val="single"/>
        </w:rPr>
        <w:t>M</w:t>
      </w:r>
      <w:r>
        <w:rPr>
          <w:u w:val="single"/>
        </w:rPr>
        <w:t>embers of Parliament</w:t>
      </w:r>
    </w:p>
    <w:p w:rsidR="003C2BB0" w:rsidRDefault="006D2BAB" w:rsidP="00992ABA">
      <w:pPr>
        <w:spacing w:after="0" w:line="240" w:lineRule="auto"/>
        <w:jc w:val="both"/>
      </w:pPr>
      <w:r>
        <w:t xml:space="preserve">MPs can help local pharmacies by encouraging the Government to be clearer about its plans. MPs could write </w:t>
      </w:r>
      <w:r w:rsidR="00DE52E6">
        <w:t xml:space="preserve">to </w:t>
      </w:r>
      <w:r>
        <w:t>the Secretary of State, or table Parliamentary Questions, asking about the impact in their constituency. Specifically, MPs should ask about the impact of the changes laid out in the letter from the Department of Health and NHS England of 17</w:t>
      </w:r>
      <w:r w:rsidR="00EA040D">
        <w:t>th</w:t>
      </w:r>
      <w:r>
        <w:t xml:space="preserve"> December 2015, titled ‘</w:t>
      </w:r>
      <w:r w:rsidRPr="006D2BAB">
        <w:t>Community pharmacy in 2016/17 and beyond</w:t>
      </w:r>
      <w:r>
        <w:t>’. MPs should ask how the plans will affect community pharmacies in their constituency.</w:t>
      </w:r>
      <w:r w:rsidR="00DE52E6">
        <w:t xml:space="preserve"> MPs can also sign the following EDM: </w:t>
      </w:r>
      <w:hyperlink r:id="rId12" w:history="1">
        <w:r w:rsidR="00DE52E6" w:rsidRPr="00DE52E6">
          <w:rPr>
            <w:rStyle w:val="Hyperlink"/>
          </w:rPr>
          <w:t>http://www.parliament.uk/business/publications/business-papers/commons/early-day-motions/edm-detail1/?session=2015-16&amp;edmnumber=1072</w:t>
        </w:r>
      </w:hyperlink>
    </w:p>
    <w:p w:rsidR="00992ABA" w:rsidRPr="006D2BAB" w:rsidRDefault="00992ABA" w:rsidP="00992ABA">
      <w:pPr>
        <w:spacing w:after="0" w:line="240" w:lineRule="auto"/>
        <w:jc w:val="both"/>
      </w:pPr>
    </w:p>
    <w:p w:rsidR="006D2BAB" w:rsidRPr="003C2BB0" w:rsidRDefault="00287071" w:rsidP="00992ABA">
      <w:pPr>
        <w:spacing w:after="0" w:line="240" w:lineRule="auto"/>
        <w:jc w:val="both"/>
        <w:rPr>
          <w:u w:val="single"/>
        </w:rPr>
      </w:pPr>
      <w:r>
        <w:rPr>
          <w:u w:val="single"/>
        </w:rPr>
        <w:t>Patients and representative groups</w:t>
      </w:r>
    </w:p>
    <w:p w:rsidR="003C2BB0" w:rsidRDefault="003C2BB0" w:rsidP="00992ABA">
      <w:pPr>
        <w:spacing w:after="0" w:line="240" w:lineRule="auto"/>
        <w:jc w:val="both"/>
      </w:pPr>
      <w:r>
        <w:t>Patients and others can help by visiting the</w:t>
      </w:r>
      <w:r w:rsidR="00287071">
        <w:t xml:space="preserve"> website</w:t>
      </w:r>
      <w:r>
        <w:t xml:space="preserve"> </w:t>
      </w:r>
      <w:hyperlink r:id="rId13" w:history="1">
        <w:r w:rsidR="00992ABA">
          <w:rPr>
            <w:rStyle w:val="Hyperlink"/>
          </w:rPr>
          <w:t>supportyourlocalpharmacy.org</w:t>
        </w:r>
      </w:hyperlink>
      <w:r w:rsidR="00287071">
        <w:t xml:space="preserve">. Here you can find out more information, links to petitions, and details on how to write a letter to your MP </w:t>
      </w:r>
      <w:r w:rsidR="00992ABA">
        <w:t>telling him</w:t>
      </w:r>
      <w:r w:rsidR="00287071">
        <w:t xml:space="preserve"> or her that you </w:t>
      </w:r>
      <w:r w:rsidR="00C7484D">
        <w:t xml:space="preserve">want </w:t>
      </w:r>
      <w:r w:rsidR="00287071">
        <w:t>them to back your local pharmacies.</w:t>
      </w:r>
    </w:p>
    <w:p w:rsidR="00992ABA" w:rsidRPr="00287071" w:rsidRDefault="00992ABA" w:rsidP="00992ABA">
      <w:pPr>
        <w:spacing w:after="0" w:line="240" w:lineRule="auto"/>
        <w:jc w:val="both"/>
      </w:pPr>
    </w:p>
    <w:p w:rsidR="003C2BB0" w:rsidRDefault="003C2BB0" w:rsidP="00992ABA">
      <w:pPr>
        <w:spacing w:after="0" w:line="240" w:lineRule="auto"/>
        <w:jc w:val="both"/>
        <w:rPr>
          <w:u w:val="single"/>
        </w:rPr>
      </w:pPr>
      <w:r w:rsidRPr="003C2BB0">
        <w:rPr>
          <w:u w:val="single"/>
        </w:rPr>
        <w:t>Local authorities</w:t>
      </w:r>
      <w:r>
        <w:rPr>
          <w:u w:val="single"/>
        </w:rPr>
        <w:t>, commissioners and health professionals</w:t>
      </w:r>
    </w:p>
    <w:p w:rsidR="00287071" w:rsidRPr="00992ABA" w:rsidRDefault="003C2BB0" w:rsidP="00992ABA">
      <w:pPr>
        <w:spacing w:after="0" w:line="240" w:lineRule="auto"/>
        <w:jc w:val="both"/>
      </w:pPr>
      <w:r>
        <w:t>Commissioners and providers of local health service</w:t>
      </w:r>
      <w:r w:rsidR="00DE52E6">
        <w:t>s</w:t>
      </w:r>
      <w:r>
        <w:t xml:space="preserve"> can help by considering the impact of the proposals on their local health network and patients. The Local Pharmaceutical Committee may be able to help in these discussions. Health providers and commissioners could then ask</w:t>
      </w:r>
      <w:r w:rsidRPr="001255FA">
        <w:t xml:space="preserve"> NHS England to explain the plans </w:t>
      </w:r>
      <w:r>
        <w:t>to them in more detail, and to outline what im</w:t>
      </w:r>
      <w:r w:rsidR="002A1A79">
        <w:t>pact they think they will have.</w:t>
      </w:r>
    </w:p>
    <w:sectPr w:rsidR="00287071" w:rsidRPr="00992A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79C" w:rsidRDefault="0043179C" w:rsidP="0043179C">
      <w:pPr>
        <w:spacing w:after="0" w:line="240" w:lineRule="auto"/>
      </w:pPr>
      <w:r>
        <w:separator/>
      </w:r>
    </w:p>
  </w:endnote>
  <w:endnote w:type="continuationSeparator" w:id="0">
    <w:p w:rsidR="0043179C" w:rsidRDefault="0043179C" w:rsidP="0043179C">
      <w:pPr>
        <w:spacing w:after="0" w:line="240" w:lineRule="auto"/>
      </w:pPr>
      <w:r>
        <w:continuationSeparator/>
      </w:r>
    </w:p>
  </w:endnote>
  <w:endnote w:id="1">
    <w:p w:rsidR="0043179C" w:rsidRDefault="0043179C" w:rsidP="0043179C">
      <w:pPr>
        <w:pStyle w:val="EndnoteText"/>
      </w:pPr>
      <w:r>
        <w:rPr>
          <w:rStyle w:val="EndnoteReference"/>
        </w:rPr>
        <w:endnoteRef/>
      </w:r>
      <w:r>
        <w:t xml:space="preserve"> COI on behalf of Department of Health,</w:t>
      </w:r>
      <w:r w:rsidRPr="003B1676">
        <w:t xml:space="preserve"> Community pharmacy use - quantitative and qualitative research: market research report</w:t>
      </w:r>
      <w:r>
        <w:t xml:space="preserve">, 2008, </w:t>
      </w:r>
      <w:hyperlink r:id="rId1" w:history="1">
        <w:r w:rsidRPr="006C1E86">
          <w:rPr>
            <w:rStyle w:val="Hyperlink"/>
          </w:rPr>
          <w:t>http://www.dh.gov.uk/en/Publicationsandstatistics/Publications/PublicationsPolicyAndGuidance/DH_083815</w:t>
        </w:r>
      </w:hyperlink>
      <w:r>
        <w:t xml:space="preserve"> </w:t>
      </w:r>
    </w:p>
  </w:endnote>
  <w:endnote w:id="2">
    <w:p w:rsidR="0043179C" w:rsidRDefault="0043179C" w:rsidP="0043179C">
      <w:pPr>
        <w:pStyle w:val="EndnoteText"/>
      </w:pPr>
      <w:r>
        <w:rPr>
          <w:rStyle w:val="EndnoteReference"/>
        </w:rPr>
        <w:endnoteRef/>
      </w:r>
      <w:r>
        <w:t xml:space="preserve"> IMS Health Dec. 2007 study, </w:t>
      </w:r>
      <w:hyperlink r:id="rId2" w:history="1">
        <w:r w:rsidRPr="006C1E86">
          <w:rPr>
            <w:rStyle w:val="Hyperlink"/>
          </w:rPr>
          <w:t>http://www.selfcareforum.org/wp-content/uploads/2011/07/Minorailmentsresearch09.pdf</w:t>
        </w:r>
      </w:hyperlink>
      <w:r>
        <w:t xml:space="preserve"> </w:t>
      </w:r>
    </w:p>
  </w:endnote>
  <w:endnote w:id="3">
    <w:p w:rsidR="0043179C" w:rsidRDefault="0043179C" w:rsidP="0043179C">
      <w:pPr>
        <w:pStyle w:val="EndnoteText"/>
      </w:pPr>
      <w:r>
        <w:rPr>
          <w:rStyle w:val="EndnoteReference"/>
        </w:rPr>
        <w:endnoteRef/>
      </w:r>
      <w:r>
        <w:t xml:space="preserve"> </w:t>
      </w:r>
      <w:proofErr w:type="spellStart"/>
      <w:r>
        <w:t>Hodson</w:t>
      </w:r>
      <w:proofErr w:type="spellEnd"/>
      <w:r>
        <w:t xml:space="preserve"> et al. Evaluation of the Discharge Medicines Review Service, </w:t>
      </w:r>
      <w:r w:rsidRPr="003B1676">
        <w:t>Welsh Institute for Health and Social Care</w:t>
      </w:r>
      <w:r>
        <w:t>, 2014</w:t>
      </w:r>
    </w:p>
  </w:endnote>
  <w:endnote w:id="4">
    <w:p w:rsidR="0043179C" w:rsidRDefault="0043179C" w:rsidP="0043179C">
      <w:pPr>
        <w:pStyle w:val="EndnoteText"/>
      </w:pPr>
      <w:r>
        <w:rPr>
          <w:rStyle w:val="EndnoteReference"/>
        </w:rPr>
        <w:endnoteRef/>
      </w:r>
      <w:r>
        <w:t xml:space="preserve"> </w:t>
      </w:r>
      <w:proofErr w:type="gramStart"/>
      <w:r>
        <w:rPr>
          <w:rStyle w:val="mixed-citation"/>
        </w:rPr>
        <w:t xml:space="preserve">Watson MC, Holland R, Ferguson J, et al. </w:t>
      </w:r>
      <w:r>
        <w:rPr>
          <w:rStyle w:val="ref-journal"/>
        </w:rPr>
        <w:t>Community Pharmacy Management of Minor Illness (The MINA Study)</w:t>
      </w:r>
      <w:r>
        <w:rPr>
          <w:rStyle w:val="mixed-citation"/>
        </w:rPr>
        <w:t>.</w:t>
      </w:r>
      <w:proofErr w:type="gramEnd"/>
      <w:r>
        <w:rPr>
          <w:rStyle w:val="mixed-citation"/>
        </w:rPr>
        <w:t xml:space="preserve"> London: Pharmacy Research UK, 2014</w:t>
      </w:r>
    </w:p>
  </w:endnote>
  <w:endnote w:id="5">
    <w:p w:rsidR="0043179C" w:rsidRDefault="0043179C" w:rsidP="0043179C">
      <w:pPr>
        <w:pStyle w:val="EndnoteText"/>
      </w:pPr>
      <w:r>
        <w:rPr>
          <w:rStyle w:val="EndnoteReference"/>
        </w:rPr>
        <w:endnoteRef/>
      </w:r>
      <w:r>
        <w:t xml:space="preserve"> </w:t>
      </w:r>
      <w:proofErr w:type="spellStart"/>
      <w:r>
        <w:t>Hodson</w:t>
      </w:r>
      <w:proofErr w:type="spellEnd"/>
      <w:r>
        <w:t xml:space="preserve"> et al. Evaluation of the Discharge Medicines Review Service, </w:t>
      </w:r>
      <w:r w:rsidRPr="003B1676">
        <w:t>Welsh Institute for Health and Social Care</w:t>
      </w:r>
      <w:r>
        <w:t>, 2014</w:t>
      </w:r>
    </w:p>
  </w:endnote>
  <w:endnote w:id="6">
    <w:p w:rsidR="0043179C" w:rsidRDefault="0043179C" w:rsidP="0043179C">
      <w:pPr>
        <w:pStyle w:val="EndnoteText"/>
      </w:pPr>
      <w:r>
        <w:rPr>
          <w:rStyle w:val="EndnoteReference"/>
        </w:rPr>
        <w:endnoteRef/>
      </w:r>
      <w:r>
        <w:t xml:space="preserve"> Press release, </w:t>
      </w:r>
      <w:r w:rsidRPr="00B542D9">
        <w:t>New NHS Alliance responds to predicted pharmacy closures</w:t>
      </w:r>
      <w:r>
        <w:t xml:space="preserve">, January 2016, </w:t>
      </w:r>
      <w:hyperlink r:id="rId3" w:history="1">
        <w:r w:rsidRPr="006C1E86">
          <w:rPr>
            <w:rStyle w:val="Hyperlink"/>
          </w:rPr>
          <w:t>www.nhsalliance.org/mediacentre/new-nhs-alliance-responds-to-predicted-pharmacy-closures/</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79C" w:rsidRDefault="0043179C" w:rsidP="0043179C">
      <w:pPr>
        <w:spacing w:after="0" w:line="240" w:lineRule="auto"/>
      </w:pPr>
      <w:r>
        <w:separator/>
      </w:r>
    </w:p>
  </w:footnote>
  <w:footnote w:type="continuationSeparator" w:id="0">
    <w:p w:rsidR="0043179C" w:rsidRDefault="0043179C" w:rsidP="00431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464B"/>
    <w:multiLevelType w:val="hybridMultilevel"/>
    <w:tmpl w:val="C2746490"/>
    <w:lvl w:ilvl="0" w:tplc="0809000F">
      <w:start w:val="1"/>
      <w:numFmt w:val="decimal"/>
      <w:lvlText w:val="%1."/>
      <w:lvlJc w:val="left"/>
      <w:pPr>
        <w:tabs>
          <w:tab w:val="num" w:pos="720"/>
        </w:tabs>
        <w:ind w:left="720" w:hanging="360"/>
      </w:pPr>
      <w:rPr>
        <w:rFonts w:hint="default"/>
        <w:color w:val="93378A" w:themeColor="accent2"/>
      </w:rPr>
    </w:lvl>
    <w:lvl w:ilvl="1" w:tplc="CB60AB3A" w:tentative="1">
      <w:start w:val="1"/>
      <w:numFmt w:val="bullet"/>
      <w:lvlText w:val="•"/>
      <w:lvlJc w:val="left"/>
      <w:pPr>
        <w:tabs>
          <w:tab w:val="num" w:pos="1440"/>
        </w:tabs>
        <w:ind w:left="1440" w:hanging="360"/>
      </w:pPr>
      <w:rPr>
        <w:rFonts w:ascii="Arial" w:hAnsi="Arial" w:hint="default"/>
      </w:rPr>
    </w:lvl>
    <w:lvl w:ilvl="2" w:tplc="4BA8D942" w:tentative="1">
      <w:start w:val="1"/>
      <w:numFmt w:val="bullet"/>
      <w:lvlText w:val="•"/>
      <w:lvlJc w:val="left"/>
      <w:pPr>
        <w:tabs>
          <w:tab w:val="num" w:pos="2160"/>
        </w:tabs>
        <w:ind w:left="2160" w:hanging="360"/>
      </w:pPr>
      <w:rPr>
        <w:rFonts w:ascii="Arial" w:hAnsi="Arial" w:hint="default"/>
      </w:rPr>
    </w:lvl>
    <w:lvl w:ilvl="3" w:tplc="583458E2" w:tentative="1">
      <w:start w:val="1"/>
      <w:numFmt w:val="bullet"/>
      <w:lvlText w:val="•"/>
      <w:lvlJc w:val="left"/>
      <w:pPr>
        <w:tabs>
          <w:tab w:val="num" w:pos="2880"/>
        </w:tabs>
        <w:ind w:left="2880" w:hanging="360"/>
      </w:pPr>
      <w:rPr>
        <w:rFonts w:ascii="Arial" w:hAnsi="Arial" w:hint="default"/>
      </w:rPr>
    </w:lvl>
    <w:lvl w:ilvl="4" w:tplc="6942845A" w:tentative="1">
      <w:start w:val="1"/>
      <w:numFmt w:val="bullet"/>
      <w:lvlText w:val="•"/>
      <w:lvlJc w:val="left"/>
      <w:pPr>
        <w:tabs>
          <w:tab w:val="num" w:pos="3600"/>
        </w:tabs>
        <w:ind w:left="3600" w:hanging="360"/>
      </w:pPr>
      <w:rPr>
        <w:rFonts w:ascii="Arial" w:hAnsi="Arial" w:hint="default"/>
      </w:rPr>
    </w:lvl>
    <w:lvl w:ilvl="5" w:tplc="D4C4F3B0" w:tentative="1">
      <w:start w:val="1"/>
      <w:numFmt w:val="bullet"/>
      <w:lvlText w:val="•"/>
      <w:lvlJc w:val="left"/>
      <w:pPr>
        <w:tabs>
          <w:tab w:val="num" w:pos="4320"/>
        </w:tabs>
        <w:ind w:left="4320" w:hanging="360"/>
      </w:pPr>
      <w:rPr>
        <w:rFonts w:ascii="Arial" w:hAnsi="Arial" w:hint="default"/>
      </w:rPr>
    </w:lvl>
    <w:lvl w:ilvl="6" w:tplc="4C2229A8" w:tentative="1">
      <w:start w:val="1"/>
      <w:numFmt w:val="bullet"/>
      <w:lvlText w:val="•"/>
      <w:lvlJc w:val="left"/>
      <w:pPr>
        <w:tabs>
          <w:tab w:val="num" w:pos="5040"/>
        </w:tabs>
        <w:ind w:left="5040" w:hanging="360"/>
      </w:pPr>
      <w:rPr>
        <w:rFonts w:ascii="Arial" w:hAnsi="Arial" w:hint="default"/>
      </w:rPr>
    </w:lvl>
    <w:lvl w:ilvl="7" w:tplc="8E248FFC" w:tentative="1">
      <w:start w:val="1"/>
      <w:numFmt w:val="bullet"/>
      <w:lvlText w:val="•"/>
      <w:lvlJc w:val="left"/>
      <w:pPr>
        <w:tabs>
          <w:tab w:val="num" w:pos="5760"/>
        </w:tabs>
        <w:ind w:left="5760" w:hanging="360"/>
      </w:pPr>
      <w:rPr>
        <w:rFonts w:ascii="Arial" w:hAnsi="Arial" w:hint="default"/>
      </w:rPr>
    </w:lvl>
    <w:lvl w:ilvl="8" w:tplc="366296F4" w:tentative="1">
      <w:start w:val="1"/>
      <w:numFmt w:val="bullet"/>
      <w:lvlText w:val="•"/>
      <w:lvlJc w:val="left"/>
      <w:pPr>
        <w:tabs>
          <w:tab w:val="num" w:pos="6480"/>
        </w:tabs>
        <w:ind w:left="6480" w:hanging="360"/>
      </w:pPr>
      <w:rPr>
        <w:rFonts w:ascii="Arial" w:hAnsi="Arial" w:hint="default"/>
      </w:rPr>
    </w:lvl>
  </w:abstractNum>
  <w:abstractNum w:abstractNumId="1">
    <w:nsid w:val="0CA70C43"/>
    <w:multiLevelType w:val="multilevel"/>
    <w:tmpl w:val="3746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184BA6"/>
    <w:multiLevelType w:val="hybridMultilevel"/>
    <w:tmpl w:val="C0425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2C6BDD"/>
    <w:multiLevelType w:val="hybridMultilevel"/>
    <w:tmpl w:val="71E26294"/>
    <w:lvl w:ilvl="0" w:tplc="08090001">
      <w:start w:val="1"/>
      <w:numFmt w:val="bullet"/>
      <w:lvlText w:val=""/>
      <w:lvlJc w:val="left"/>
      <w:pPr>
        <w:tabs>
          <w:tab w:val="num" w:pos="720"/>
        </w:tabs>
        <w:ind w:left="720" w:hanging="360"/>
      </w:pPr>
      <w:rPr>
        <w:rFonts w:ascii="Symbol" w:hAnsi="Symbol" w:hint="default"/>
        <w:color w:val="93378A" w:themeColor="accent2"/>
      </w:rPr>
    </w:lvl>
    <w:lvl w:ilvl="1" w:tplc="CB60AB3A" w:tentative="1">
      <w:start w:val="1"/>
      <w:numFmt w:val="bullet"/>
      <w:lvlText w:val="•"/>
      <w:lvlJc w:val="left"/>
      <w:pPr>
        <w:tabs>
          <w:tab w:val="num" w:pos="1440"/>
        </w:tabs>
        <w:ind w:left="1440" w:hanging="360"/>
      </w:pPr>
      <w:rPr>
        <w:rFonts w:ascii="Arial" w:hAnsi="Arial" w:hint="default"/>
      </w:rPr>
    </w:lvl>
    <w:lvl w:ilvl="2" w:tplc="4BA8D942" w:tentative="1">
      <w:start w:val="1"/>
      <w:numFmt w:val="bullet"/>
      <w:lvlText w:val="•"/>
      <w:lvlJc w:val="left"/>
      <w:pPr>
        <w:tabs>
          <w:tab w:val="num" w:pos="2160"/>
        </w:tabs>
        <w:ind w:left="2160" w:hanging="360"/>
      </w:pPr>
      <w:rPr>
        <w:rFonts w:ascii="Arial" w:hAnsi="Arial" w:hint="default"/>
      </w:rPr>
    </w:lvl>
    <w:lvl w:ilvl="3" w:tplc="583458E2" w:tentative="1">
      <w:start w:val="1"/>
      <w:numFmt w:val="bullet"/>
      <w:lvlText w:val="•"/>
      <w:lvlJc w:val="left"/>
      <w:pPr>
        <w:tabs>
          <w:tab w:val="num" w:pos="2880"/>
        </w:tabs>
        <w:ind w:left="2880" w:hanging="360"/>
      </w:pPr>
      <w:rPr>
        <w:rFonts w:ascii="Arial" w:hAnsi="Arial" w:hint="default"/>
      </w:rPr>
    </w:lvl>
    <w:lvl w:ilvl="4" w:tplc="6942845A" w:tentative="1">
      <w:start w:val="1"/>
      <w:numFmt w:val="bullet"/>
      <w:lvlText w:val="•"/>
      <w:lvlJc w:val="left"/>
      <w:pPr>
        <w:tabs>
          <w:tab w:val="num" w:pos="3600"/>
        </w:tabs>
        <w:ind w:left="3600" w:hanging="360"/>
      </w:pPr>
      <w:rPr>
        <w:rFonts w:ascii="Arial" w:hAnsi="Arial" w:hint="default"/>
      </w:rPr>
    </w:lvl>
    <w:lvl w:ilvl="5" w:tplc="D4C4F3B0" w:tentative="1">
      <w:start w:val="1"/>
      <w:numFmt w:val="bullet"/>
      <w:lvlText w:val="•"/>
      <w:lvlJc w:val="left"/>
      <w:pPr>
        <w:tabs>
          <w:tab w:val="num" w:pos="4320"/>
        </w:tabs>
        <w:ind w:left="4320" w:hanging="360"/>
      </w:pPr>
      <w:rPr>
        <w:rFonts w:ascii="Arial" w:hAnsi="Arial" w:hint="default"/>
      </w:rPr>
    </w:lvl>
    <w:lvl w:ilvl="6" w:tplc="4C2229A8" w:tentative="1">
      <w:start w:val="1"/>
      <w:numFmt w:val="bullet"/>
      <w:lvlText w:val="•"/>
      <w:lvlJc w:val="left"/>
      <w:pPr>
        <w:tabs>
          <w:tab w:val="num" w:pos="5040"/>
        </w:tabs>
        <w:ind w:left="5040" w:hanging="360"/>
      </w:pPr>
      <w:rPr>
        <w:rFonts w:ascii="Arial" w:hAnsi="Arial" w:hint="default"/>
      </w:rPr>
    </w:lvl>
    <w:lvl w:ilvl="7" w:tplc="8E248FFC" w:tentative="1">
      <w:start w:val="1"/>
      <w:numFmt w:val="bullet"/>
      <w:lvlText w:val="•"/>
      <w:lvlJc w:val="left"/>
      <w:pPr>
        <w:tabs>
          <w:tab w:val="num" w:pos="5760"/>
        </w:tabs>
        <w:ind w:left="5760" w:hanging="360"/>
      </w:pPr>
      <w:rPr>
        <w:rFonts w:ascii="Arial" w:hAnsi="Arial" w:hint="default"/>
      </w:rPr>
    </w:lvl>
    <w:lvl w:ilvl="8" w:tplc="366296F4" w:tentative="1">
      <w:start w:val="1"/>
      <w:numFmt w:val="bullet"/>
      <w:lvlText w:val="•"/>
      <w:lvlJc w:val="left"/>
      <w:pPr>
        <w:tabs>
          <w:tab w:val="num" w:pos="6480"/>
        </w:tabs>
        <w:ind w:left="6480" w:hanging="360"/>
      </w:pPr>
      <w:rPr>
        <w:rFonts w:ascii="Arial" w:hAnsi="Arial" w:hint="default"/>
      </w:rPr>
    </w:lvl>
  </w:abstractNum>
  <w:abstractNum w:abstractNumId="4">
    <w:nsid w:val="2101525E"/>
    <w:multiLevelType w:val="hybridMultilevel"/>
    <w:tmpl w:val="4EE05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EF1021E"/>
    <w:multiLevelType w:val="hybridMultilevel"/>
    <w:tmpl w:val="E152897C"/>
    <w:lvl w:ilvl="0" w:tplc="08090001">
      <w:start w:val="1"/>
      <w:numFmt w:val="bullet"/>
      <w:lvlText w:val=""/>
      <w:lvlJc w:val="left"/>
      <w:pPr>
        <w:tabs>
          <w:tab w:val="num" w:pos="720"/>
        </w:tabs>
        <w:ind w:left="720" w:hanging="360"/>
      </w:pPr>
      <w:rPr>
        <w:rFonts w:ascii="Symbol" w:hAnsi="Symbol" w:hint="default"/>
        <w:color w:val="93378A" w:themeColor="accent2"/>
      </w:rPr>
    </w:lvl>
    <w:lvl w:ilvl="1" w:tplc="CB60AB3A" w:tentative="1">
      <w:start w:val="1"/>
      <w:numFmt w:val="bullet"/>
      <w:lvlText w:val="•"/>
      <w:lvlJc w:val="left"/>
      <w:pPr>
        <w:tabs>
          <w:tab w:val="num" w:pos="1440"/>
        </w:tabs>
        <w:ind w:left="1440" w:hanging="360"/>
      </w:pPr>
      <w:rPr>
        <w:rFonts w:ascii="Arial" w:hAnsi="Arial" w:hint="default"/>
      </w:rPr>
    </w:lvl>
    <w:lvl w:ilvl="2" w:tplc="4BA8D942" w:tentative="1">
      <w:start w:val="1"/>
      <w:numFmt w:val="bullet"/>
      <w:lvlText w:val="•"/>
      <w:lvlJc w:val="left"/>
      <w:pPr>
        <w:tabs>
          <w:tab w:val="num" w:pos="2160"/>
        </w:tabs>
        <w:ind w:left="2160" w:hanging="360"/>
      </w:pPr>
      <w:rPr>
        <w:rFonts w:ascii="Arial" w:hAnsi="Arial" w:hint="default"/>
      </w:rPr>
    </w:lvl>
    <w:lvl w:ilvl="3" w:tplc="583458E2" w:tentative="1">
      <w:start w:val="1"/>
      <w:numFmt w:val="bullet"/>
      <w:lvlText w:val="•"/>
      <w:lvlJc w:val="left"/>
      <w:pPr>
        <w:tabs>
          <w:tab w:val="num" w:pos="2880"/>
        </w:tabs>
        <w:ind w:left="2880" w:hanging="360"/>
      </w:pPr>
      <w:rPr>
        <w:rFonts w:ascii="Arial" w:hAnsi="Arial" w:hint="default"/>
      </w:rPr>
    </w:lvl>
    <w:lvl w:ilvl="4" w:tplc="6942845A" w:tentative="1">
      <w:start w:val="1"/>
      <w:numFmt w:val="bullet"/>
      <w:lvlText w:val="•"/>
      <w:lvlJc w:val="left"/>
      <w:pPr>
        <w:tabs>
          <w:tab w:val="num" w:pos="3600"/>
        </w:tabs>
        <w:ind w:left="3600" w:hanging="360"/>
      </w:pPr>
      <w:rPr>
        <w:rFonts w:ascii="Arial" w:hAnsi="Arial" w:hint="default"/>
      </w:rPr>
    </w:lvl>
    <w:lvl w:ilvl="5" w:tplc="D4C4F3B0" w:tentative="1">
      <w:start w:val="1"/>
      <w:numFmt w:val="bullet"/>
      <w:lvlText w:val="•"/>
      <w:lvlJc w:val="left"/>
      <w:pPr>
        <w:tabs>
          <w:tab w:val="num" w:pos="4320"/>
        </w:tabs>
        <w:ind w:left="4320" w:hanging="360"/>
      </w:pPr>
      <w:rPr>
        <w:rFonts w:ascii="Arial" w:hAnsi="Arial" w:hint="default"/>
      </w:rPr>
    </w:lvl>
    <w:lvl w:ilvl="6" w:tplc="4C2229A8" w:tentative="1">
      <w:start w:val="1"/>
      <w:numFmt w:val="bullet"/>
      <w:lvlText w:val="•"/>
      <w:lvlJc w:val="left"/>
      <w:pPr>
        <w:tabs>
          <w:tab w:val="num" w:pos="5040"/>
        </w:tabs>
        <w:ind w:left="5040" w:hanging="360"/>
      </w:pPr>
      <w:rPr>
        <w:rFonts w:ascii="Arial" w:hAnsi="Arial" w:hint="default"/>
      </w:rPr>
    </w:lvl>
    <w:lvl w:ilvl="7" w:tplc="8E248FFC" w:tentative="1">
      <w:start w:val="1"/>
      <w:numFmt w:val="bullet"/>
      <w:lvlText w:val="•"/>
      <w:lvlJc w:val="left"/>
      <w:pPr>
        <w:tabs>
          <w:tab w:val="num" w:pos="5760"/>
        </w:tabs>
        <w:ind w:left="5760" w:hanging="360"/>
      </w:pPr>
      <w:rPr>
        <w:rFonts w:ascii="Arial" w:hAnsi="Arial" w:hint="default"/>
      </w:rPr>
    </w:lvl>
    <w:lvl w:ilvl="8" w:tplc="366296F4" w:tentative="1">
      <w:start w:val="1"/>
      <w:numFmt w:val="bullet"/>
      <w:lvlText w:val="•"/>
      <w:lvlJc w:val="left"/>
      <w:pPr>
        <w:tabs>
          <w:tab w:val="num" w:pos="6480"/>
        </w:tabs>
        <w:ind w:left="6480" w:hanging="360"/>
      </w:pPr>
      <w:rPr>
        <w:rFonts w:ascii="Arial" w:hAnsi="Arial" w:hint="default"/>
      </w:rPr>
    </w:lvl>
  </w:abstractNum>
  <w:abstractNum w:abstractNumId="6">
    <w:nsid w:val="338D6C5E"/>
    <w:multiLevelType w:val="hybridMultilevel"/>
    <w:tmpl w:val="DAC2E3D6"/>
    <w:lvl w:ilvl="0" w:tplc="7A128834">
      <w:start w:val="1"/>
      <w:numFmt w:val="decimal"/>
      <w:lvlText w:val="%1."/>
      <w:lvlJc w:val="left"/>
      <w:pPr>
        <w:ind w:left="405" w:hanging="360"/>
      </w:pPr>
      <w:rPr>
        <w:rFonts w:hint="default"/>
        <w:b w:val="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nsid w:val="3DA5209E"/>
    <w:multiLevelType w:val="hybridMultilevel"/>
    <w:tmpl w:val="1598CBF6"/>
    <w:lvl w:ilvl="0" w:tplc="08090001">
      <w:start w:val="1"/>
      <w:numFmt w:val="bullet"/>
      <w:lvlText w:val=""/>
      <w:lvlJc w:val="left"/>
      <w:pPr>
        <w:tabs>
          <w:tab w:val="num" w:pos="720"/>
        </w:tabs>
        <w:ind w:left="720" w:hanging="360"/>
      </w:pPr>
      <w:rPr>
        <w:rFonts w:ascii="Symbol" w:hAnsi="Symbol" w:hint="default"/>
        <w:color w:val="93378A" w:themeColor="accent2"/>
      </w:rPr>
    </w:lvl>
    <w:lvl w:ilvl="1" w:tplc="CB60AB3A" w:tentative="1">
      <w:start w:val="1"/>
      <w:numFmt w:val="bullet"/>
      <w:lvlText w:val="•"/>
      <w:lvlJc w:val="left"/>
      <w:pPr>
        <w:tabs>
          <w:tab w:val="num" w:pos="1440"/>
        </w:tabs>
        <w:ind w:left="1440" w:hanging="360"/>
      </w:pPr>
      <w:rPr>
        <w:rFonts w:ascii="Arial" w:hAnsi="Arial" w:hint="default"/>
      </w:rPr>
    </w:lvl>
    <w:lvl w:ilvl="2" w:tplc="4BA8D942" w:tentative="1">
      <w:start w:val="1"/>
      <w:numFmt w:val="bullet"/>
      <w:lvlText w:val="•"/>
      <w:lvlJc w:val="left"/>
      <w:pPr>
        <w:tabs>
          <w:tab w:val="num" w:pos="2160"/>
        </w:tabs>
        <w:ind w:left="2160" w:hanging="360"/>
      </w:pPr>
      <w:rPr>
        <w:rFonts w:ascii="Arial" w:hAnsi="Arial" w:hint="default"/>
      </w:rPr>
    </w:lvl>
    <w:lvl w:ilvl="3" w:tplc="583458E2" w:tentative="1">
      <w:start w:val="1"/>
      <w:numFmt w:val="bullet"/>
      <w:lvlText w:val="•"/>
      <w:lvlJc w:val="left"/>
      <w:pPr>
        <w:tabs>
          <w:tab w:val="num" w:pos="2880"/>
        </w:tabs>
        <w:ind w:left="2880" w:hanging="360"/>
      </w:pPr>
      <w:rPr>
        <w:rFonts w:ascii="Arial" w:hAnsi="Arial" w:hint="default"/>
      </w:rPr>
    </w:lvl>
    <w:lvl w:ilvl="4" w:tplc="6942845A" w:tentative="1">
      <w:start w:val="1"/>
      <w:numFmt w:val="bullet"/>
      <w:lvlText w:val="•"/>
      <w:lvlJc w:val="left"/>
      <w:pPr>
        <w:tabs>
          <w:tab w:val="num" w:pos="3600"/>
        </w:tabs>
        <w:ind w:left="3600" w:hanging="360"/>
      </w:pPr>
      <w:rPr>
        <w:rFonts w:ascii="Arial" w:hAnsi="Arial" w:hint="default"/>
      </w:rPr>
    </w:lvl>
    <w:lvl w:ilvl="5" w:tplc="D4C4F3B0" w:tentative="1">
      <w:start w:val="1"/>
      <w:numFmt w:val="bullet"/>
      <w:lvlText w:val="•"/>
      <w:lvlJc w:val="left"/>
      <w:pPr>
        <w:tabs>
          <w:tab w:val="num" w:pos="4320"/>
        </w:tabs>
        <w:ind w:left="4320" w:hanging="360"/>
      </w:pPr>
      <w:rPr>
        <w:rFonts w:ascii="Arial" w:hAnsi="Arial" w:hint="default"/>
      </w:rPr>
    </w:lvl>
    <w:lvl w:ilvl="6" w:tplc="4C2229A8" w:tentative="1">
      <w:start w:val="1"/>
      <w:numFmt w:val="bullet"/>
      <w:lvlText w:val="•"/>
      <w:lvlJc w:val="left"/>
      <w:pPr>
        <w:tabs>
          <w:tab w:val="num" w:pos="5040"/>
        </w:tabs>
        <w:ind w:left="5040" w:hanging="360"/>
      </w:pPr>
      <w:rPr>
        <w:rFonts w:ascii="Arial" w:hAnsi="Arial" w:hint="default"/>
      </w:rPr>
    </w:lvl>
    <w:lvl w:ilvl="7" w:tplc="8E248FFC" w:tentative="1">
      <w:start w:val="1"/>
      <w:numFmt w:val="bullet"/>
      <w:lvlText w:val="•"/>
      <w:lvlJc w:val="left"/>
      <w:pPr>
        <w:tabs>
          <w:tab w:val="num" w:pos="5760"/>
        </w:tabs>
        <w:ind w:left="5760" w:hanging="360"/>
      </w:pPr>
      <w:rPr>
        <w:rFonts w:ascii="Arial" w:hAnsi="Arial" w:hint="default"/>
      </w:rPr>
    </w:lvl>
    <w:lvl w:ilvl="8" w:tplc="366296F4" w:tentative="1">
      <w:start w:val="1"/>
      <w:numFmt w:val="bullet"/>
      <w:lvlText w:val="•"/>
      <w:lvlJc w:val="left"/>
      <w:pPr>
        <w:tabs>
          <w:tab w:val="num" w:pos="6480"/>
        </w:tabs>
        <w:ind w:left="6480" w:hanging="360"/>
      </w:pPr>
      <w:rPr>
        <w:rFonts w:ascii="Arial" w:hAnsi="Arial" w:hint="default"/>
      </w:rPr>
    </w:lvl>
  </w:abstractNum>
  <w:abstractNum w:abstractNumId="8">
    <w:nsid w:val="413C6AB2"/>
    <w:multiLevelType w:val="hybridMultilevel"/>
    <w:tmpl w:val="E7207B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97E506C"/>
    <w:multiLevelType w:val="hybridMultilevel"/>
    <w:tmpl w:val="F752A574"/>
    <w:lvl w:ilvl="0" w:tplc="FE049C70">
      <w:start w:val="1"/>
      <w:numFmt w:val="bullet"/>
      <w:lvlText w:val="•"/>
      <w:lvlJc w:val="left"/>
      <w:pPr>
        <w:tabs>
          <w:tab w:val="num" w:pos="720"/>
        </w:tabs>
        <w:ind w:left="720" w:hanging="360"/>
      </w:pPr>
      <w:rPr>
        <w:rFonts w:ascii="Arial" w:hAnsi="Arial" w:hint="default"/>
        <w:color w:val="D58721" w:themeColor="text2"/>
      </w:rPr>
    </w:lvl>
    <w:lvl w:ilvl="1" w:tplc="C262C948">
      <w:start w:val="1"/>
      <w:numFmt w:val="bullet"/>
      <w:lvlText w:val=""/>
      <w:lvlJc w:val="left"/>
      <w:pPr>
        <w:tabs>
          <w:tab w:val="num" w:pos="1440"/>
        </w:tabs>
        <w:ind w:left="1440" w:hanging="360"/>
      </w:pPr>
      <w:rPr>
        <w:rFonts w:ascii="Wingdings" w:hAnsi="Wingdings" w:hint="default"/>
        <w:color w:val="D58721" w:themeColor="text2"/>
        <w:sz w:val="22"/>
        <w:szCs w:val="32"/>
      </w:rPr>
    </w:lvl>
    <w:lvl w:ilvl="2" w:tplc="1F6852B0" w:tentative="1">
      <w:start w:val="1"/>
      <w:numFmt w:val="bullet"/>
      <w:lvlText w:val="•"/>
      <w:lvlJc w:val="left"/>
      <w:pPr>
        <w:tabs>
          <w:tab w:val="num" w:pos="2160"/>
        </w:tabs>
        <w:ind w:left="2160" w:hanging="360"/>
      </w:pPr>
      <w:rPr>
        <w:rFonts w:ascii="Arial" w:hAnsi="Arial" w:hint="default"/>
      </w:rPr>
    </w:lvl>
    <w:lvl w:ilvl="3" w:tplc="7F4C0924" w:tentative="1">
      <w:start w:val="1"/>
      <w:numFmt w:val="bullet"/>
      <w:lvlText w:val="•"/>
      <w:lvlJc w:val="left"/>
      <w:pPr>
        <w:tabs>
          <w:tab w:val="num" w:pos="2880"/>
        </w:tabs>
        <w:ind w:left="2880" w:hanging="360"/>
      </w:pPr>
      <w:rPr>
        <w:rFonts w:ascii="Arial" w:hAnsi="Arial" w:hint="default"/>
      </w:rPr>
    </w:lvl>
    <w:lvl w:ilvl="4" w:tplc="1E6A28DA" w:tentative="1">
      <w:start w:val="1"/>
      <w:numFmt w:val="bullet"/>
      <w:lvlText w:val="•"/>
      <w:lvlJc w:val="left"/>
      <w:pPr>
        <w:tabs>
          <w:tab w:val="num" w:pos="3600"/>
        </w:tabs>
        <w:ind w:left="3600" w:hanging="360"/>
      </w:pPr>
      <w:rPr>
        <w:rFonts w:ascii="Arial" w:hAnsi="Arial" w:hint="default"/>
      </w:rPr>
    </w:lvl>
    <w:lvl w:ilvl="5" w:tplc="A3824FA2" w:tentative="1">
      <w:start w:val="1"/>
      <w:numFmt w:val="bullet"/>
      <w:lvlText w:val="•"/>
      <w:lvlJc w:val="left"/>
      <w:pPr>
        <w:tabs>
          <w:tab w:val="num" w:pos="4320"/>
        </w:tabs>
        <w:ind w:left="4320" w:hanging="360"/>
      </w:pPr>
      <w:rPr>
        <w:rFonts w:ascii="Arial" w:hAnsi="Arial" w:hint="default"/>
      </w:rPr>
    </w:lvl>
    <w:lvl w:ilvl="6" w:tplc="7E6A3F66" w:tentative="1">
      <w:start w:val="1"/>
      <w:numFmt w:val="bullet"/>
      <w:lvlText w:val="•"/>
      <w:lvlJc w:val="left"/>
      <w:pPr>
        <w:tabs>
          <w:tab w:val="num" w:pos="5040"/>
        </w:tabs>
        <w:ind w:left="5040" w:hanging="360"/>
      </w:pPr>
      <w:rPr>
        <w:rFonts w:ascii="Arial" w:hAnsi="Arial" w:hint="default"/>
      </w:rPr>
    </w:lvl>
    <w:lvl w:ilvl="7" w:tplc="B992AF22" w:tentative="1">
      <w:start w:val="1"/>
      <w:numFmt w:val="bullet"/>
      <w:lvlText w:val="•"/>
      <w:lvlJc w:val="left"/>
      <w:pPr>
        <w:tabs>
          <w:tab w:val="num" w:pos="5760"/>
        </w:tabs>
        <w:ind w:left="5760" w:hanging="360"/>
      </w:pPr>
      <w:rPr>
        <w:rFonts w:ascii="Arial" w:hAnsi="Arial" w:hint="default"/>
      </w:rPr>
    </w:lvl>
    <w:lvl w:ilvl="8" w:tplc="229C2EF2" w:tentative="1">
      <w:start w:val="1"/>
      <w:numFmt w:val="bullet"/>
      <w:lvlText w:val="•"/>
      <w:lvlJc w:val="left"/>
      <w:pPr>
        <w:tabs>
          <w:tab w:val="num" w:pos="6480"/>
        </w:tabs>
        <w:ind w:left="6480" w:hanging="360"/>
      </w:pPr>
      <w:rPr>
        <w:rFonts w:ascii="Arial" w:hAnsi="Arial" w:hint="default"/>
      </w:rPr>
    </w:lvl>
  </w:abstractNum>
  <w:abstractNum w:abstractNumId="10">
    <w:nsid w:val="794A515F"/>
    <w:multiLevelType w:val="hybridMultilevel"/>
    <w:tmpl w:val="CBA4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E33DA9"/>
    <w:multiLevelType w:val="hybridMultilevel"/>
    <w:tmpl w:val="C0BEDA72"/>
    <w:lvl w:ilvl="0" w:tplc="D926042A">
      <w:start w:val="1"/>
      <w:numFmt w:val="bullet"/>
      <w:lvlText w:val="•"/>
      <w:lvlJc w:val="left"/>
      <w:pPr>
        <w:tabs>
          <w:tab w:val="num" w:pos="720"/>
        </w:tabs>
        <w:ind w:left="720" w:hanging="360"/>
      </w:pPr>
      <w:rPr>
        <w:rFonts w:ascii="Arial" w:hAnsi="Arial" w:hint="default"/>
        <w:color w:val="93378A" w:themeColor="accent2"/>
      </w:rPr>
    </w:lvl>
    <w:lvl w:ilvl="1" w:tplc="CB60AB3A" w:tentative="1">
      <w:start w:val="1"/>
      <w:numFmt w:val="bullet"/>
      <w:lvlText w:val="•"/>
      <w:lvlJc w:val="left"/>
      <w:pPr>
        <w:tabs>
          <w:tab w:val="num" w:pos="1440"/>
        </w:tabs>
        <w:ind w:left="1440" w:hanging="360"/>
      </w:pPr>
      <w:rPr>
        <w:rFonts w:ascii="Arial" w:hAnsi="Arial" w:hint="default"/>
      </w:rPr>
    </w:lvl>
    <w:lvl w:ilvl="2" w:tplc="4BA8D942" w:tentative="1">
      <w:start w:val="1"/>
      <w:numFmt w:val="bullet"/>
      <w:lvlText w:val="•"/>
      <w:lvlJc w:val="left"/>
      <w:pPr>
        <w:tabs>
          <w:tab w:val="num" w:pos="2160"/>
        </w:tabs>
        <w:ind w:left="2160" w:hanging="360"/>
      </w:pPr>
      <w:rPr>
        <w:rFonts w:ascii="Arial" w:hAnsi="Arial" w:hint="default"/>
      </w:rPr>
    </w:lvl>
    <w:lvl w:ilvl="3" w:tplc="583458E2" w:tentative="1">
      <w:start w:val="1"/>
      <w:numFmt w:val="bullet"/>
      <w:lvlText w:val="•"/>
      <w:lvlJc w:val="left"/>
      <w:pPr>
        <w:tabs>
          <w:tab w:val="num" w:pos="2880"/>
        </w:tabs>
        <w:ind w:left="2880" w:hanging="360"/>
      </w:pPr>
      <w:rPr>
        <w:rFonts w:ascii="Arial" w:hAnsi="Arial" w:hint="default"/>
      </w:rPr>
    </w:lvl>
    <w:lvl w:ilvl="4" w:tplc="6942845A" w:tentative="1">
      <w:start w:val="1"/>
      <w:numFmt w:val="bullet"/>
      <w:lvlText w:val="•"/>
      <w:lvlJc w:val="left"/>
      <w:pPr>
        <w:tabs>
          <w:tab w:val="num" w:pos="3600"/>
        </w:tabs>
        <w:ind w:left="3600" w:hanging="360"/>
      </w:pPr>
      <w:rPr>
        <w:rFonts w:ascii="Arial" w:hAnsi="Arial" w:hint="default"/>
      </w:rPr>
    </w:lvl>
    <w:lvl w:ilvl="5" w:tplc="D4C4F3B0" w:tentative="1">
      <w:start w:val="1"/>
      <w:numFmt w:val="bullet"/>
      <w:lvlText w:val="•"/>
      <w:lvlJc w:val="left"/>
      <w:pPr>
        <w:tabs>
          <w:tab w:val="num" w:pos="4320"/>
        </w:tabs>
        <w:ind w:left="4320" w:hanging="360"/>
      </w:pPr>
      <w:rPr>
        <w:rFonts w:ascii="Arial" w:hAnsi="Arial" w:hint="default"/>
      </w:rPr>
    </w:lvl>
    <w:lvl w:ilvl="6" w:tplc="4C2229A8" w:tentative="1">
      <w:start w:val="1"/>
      <w:numFmt w:val="bullet"/>
      <w:lvlText w:val="•"/>
      <w:lvlJc w:val="left"/>
      <w:pPr>
        <w:tabs>
          <w:tab w:val="num" w:pos="5040"/>
        </w:tabs>
        <w:ind w:left="5040" w:hanging="360"/>
      </w:pPr>
      <w:rPr>
        <w:rFonts w:ascii="Arial" w:hAnsi="Arial" w:hint="default"/>
      </w:rPr>
    </w:lvl>
    <w:lvl w:ilvl="7" w:tplc="8E248FFC" w:tentative="1">
      <w:start w:val="1"/>
      <w:numFmt w:val="bullet"/>
      <w:lvlText w:val="•"/>
      <w:lvlJc w:val="left"/>
      <w:pPr>
        <w:tabs>
          <w:tab w:val="num" w:pos="5760"/>
        </w:tabs>
        <w:ind w:left="5760" w:hanging="360"/>
      </w:pPr>
      <w:rPr>
        <w:rFonts w:ascii="Arial" w:hAnsi="Arial" w:hint="default"/>
      </w:rPr>
    </w:lvl>
    <w:lvl w:ilvl="8" w:tplc="366296F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1"/>
  </w:num>
  <w:num w:numId="3">
    <w:abstractNumId w:val="7"/>
  </w:num>
  <w:num w:numId="4">
    <w:abstractNumId w:val="3"/>
  </w:num>
  <w:num w:numId="5">
    <w:abstractNumId w:val="0"/>
  </w:num>
  <w:num w:numId="6">
    <w:abstractNumId w:val="5"/>
  </w:num>
  <w:num w:numId="7">
    <w:abstractNumId w:val="4"/>
  </w:num>
  <w:num w:numId="8">
    <w:abstractNumId w:val="8"/>
  </w:num>
  <w:num w:numId="9">
    <w:abstractNumId w:val="10"/>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AB"/>
    <w:rsid w:val="000128C5"/>
    <w:rsid w:val="00151EEB"/>
    <w:rsid w:val="00287071"/>
    <w:rsid w:val="002A1A79"/>
    <w:rsid w:val="003C2BB0"/>
    <w:rsid w:val="0043179C"/>
    <w:rsid w:val="004E7987"/>
    <w:rsid w:val="005F41E5"/>
    <w:rsid w:val="00607554"/>
    <w:rsid w:val="0069505A"/>
    <w:rsid w:val="006D2BAB"/>
    <w:rsid w:val="00761FD5"/>
    <w:rsid w:val="0091499D"/>
    <w:rsid w:val="009267B9"/>
    <w:rsid w:val="009750DD"/>
    <w:rsid w:val="00977A6C"/>
    <w:rsid w:val="00992ABA"/>
    <w:rsid w:val="009B1441"/>
    <w:rsid w:val="00A022A4"/>
    <w:rsid w:val="00AA1987"/>
    <w:rsid w:val="00B36C19"/>
    <w:rsid w:val="00C635D4"/>
    <w:rsid w:val="00C7484D"/>
    <w:rsid w:val="00CD3E7C"/>
    <w:rsid w:val="00DE52E6"/>
    <w:rsid w:val="00EA040D"/>
    <w:rsid w:val="00EB0FA8"/>
    <w:rsid w:val="00EE7424"/>
    <w:rsid w:val="00F60399"/>
    <w:rsid w:val="00FA4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4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65D"/>
    <w:rPr>
      <w:rFonts w:ascii="Tahoma" w:hAnsi="Tahoma" w:cs="Tahoma"/>
      <w:sz w:val="16"/>
      <w:szCs w:val="16"/>
    </w:rPr>
  </w:style>
  <w:style w:type="paragraph" w:styleId="ListParagraph">
    <w:name w:val="List Paragraph"/>
    <w:basedOn w:val="Normal"/>
    <w:uiPriority w:val="34"/>
    <w:qFormat/>
    <w:rsid w:val="009267B9"/>
    <w:pPr>
      <w:ind w:left="720"/>
      <w:contextualSpacing/>
    </w:pPr>
  </w:style>
  <w:style w:type="character" w:styleId="Hyperlink">
    <w:name w:val="Hyperlink"/>
    <w:basedOn w:val="DefaultParagraphFont"/>
    <w:uiPriority w:val="99"/>
    <w:unhideWhenUsed/>
    <w:rsid w:val="00287071"/>
    <w:rPr>
      <w:color w:val="0000FF" w:themeColor="hyperlink"/>
      <w:u w:val="single"/>
    </w:rPr>
  </w:style>
  <w:style w:type="paragraph" w:styleId="EndnoteText">
    <w:name w:val="endnote text"/>
    <w:basedOn w:val="Normal"/>
    <w:link w:val="EndnoteTextChar"/>
    <w:uiPriority w:val="99"/>
    <w:unhideWhenUsed/>
    <w:rsid w:val="0043179C"/>
    <w:pPr>
      <w:spacing w:after="0" w:line="240" w:lineRule="auto"/>
    </w:pPr>
    <w:rPr>
      <w:sz w:val="20"/>
      <w:szCs w:val="20"/>
    </w:rPr>
  </w:style>
  <w:style w:type="character" w:customStyle="1" w:styleId="EndnoteTextChar">
    <w:name w:val="Endnote Text Char"/>
    <w:basedOn w:val="DefaultParagraphFont"/>
    <w:link w:val="EndnoteText"/>
    <w:uiPriority w:val="99"/>
    <w:rsid w:val="0043179C"/>
    <w:rPr>
      <w:sz w:val="20"/>
      <w:szCs w:val="20"/>
    </w:rPr>
  </w:style>
  <w:style w:type="character" w:styleId="EndnoteReference">
    <w:name w:val="endnote reference"/>
    <w:basedOn w:val="DefaultParagraphFont"/>
    <w:uiPriority w:val="99"/>
    <w:semiHidden/>
    <w:unhideWhenUsed/>
    <w:rsid w:val="0043179C"/>
    <w:rPr>
      <w:vertAlign w:val="superscript"/>
    </w:rPr>
  </w:style>
  <w:style w:type="character" w:customStyle="1" w:styleId="mixed-citation">
    <w:name w:val="mixed-citation"/>
    <w:basedOn w:val="DefaultParagraphFont"/>
    <w:rsid w:val="0043179C"/>
  </w:style>
  <w:style w:type="character" w:customStyle="1" w:styleId="ref-journal">
    <w:name w:val="ref-journal"/>
    <w:basedOn w:val="DefaultParagraphFont"/>
    <w:rsid w:val="00431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4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65D"/>
    <w:rPr>
      <w:rFonts w:ascii="Tahoma" w:hAnsi="Tahoma" w:cs="Tahoma"/>
      <w:sz w:val="16"/>
      <w:szCs w:val="16"/>
    </w:rPr>
  </w:style>
  <w:style w:type="paragraph" w:styleId="ListParagraph">
    <w:name w:val="List Paragraph"/>
    <w:basedOn w:val="Normal"/>
    <w:uiPriority w:val="34"/>
    <w:qFormat/>
    <w:rsid w:val="009267B9"/>
    <w:pPr>
      <w:ind w:left="720"/>
      <w:contextualSpacing/>
    </w:pPr>
  </w:style>
  <w:style w:type="character" w:styleId="Hyperlink">
    <w:name w:val="Hyperlink"/>
    <w:basedOn w:val="DefaultParagraphFont"/>
    <w:uiPriority w:val="99"/>
    <w:unhideWhenUsed/>
    <w:rsid w:val="00287071"/>
    <w:rPr>
      <w:color w:val="0000FF" w:themeColor="hyperlink"/>
      <w:u w:val="single"/>
    </w:rPr>
  </w:style>
  <w:style w:type="paragraph" w:styleId="EndnoteText">
    <w:name w:val="endnote text"/>
    <w:basedOn w:val="Normal"/>
    <w:link w:val="EndnoteTextChar"/>
    <w:uiPriority w:val="99"/>
    <w:unhideWhenUsed/>
    <w:rsid w:val="0043179C"/>
    <w:pPr>
      <w:spacing w:after="0" w:line="240" w:lineRule="auto"/>
    </w:pPr>
    <w:rPr>
      <w:sz w:val="20"/>
      <w:szCs w:val="20"/>
    </w:rPr>
  </w:style>
  <w:style w:type="character" w:customStyle="1" w:styleId="EndnoteTextChar">
    <w:name w:val="Endnote Text Char"/>
    <w:basedOn w:val="DefaultParagraphFont"/>
    <w:link w:val="EndnoteText"/>
    <w:uiPriority w:val="99"/>
    <w:rsid w:val="0043179C"/>
    <w:rPr>
      <w:sz w:val="20"/>
      <w:szCs w:val="20"/>
    </w:rPr>
  </w:style>
  <w:style w:type="character" w:styleId="EndnoteReference">
    <w:name w:val="endnote reference"/>
    <w:basedOn w:val="DefaultParagraphFont"/>
    <w:uiPriority w:val="99"/>
    <w:semiHidden/>
    <w:unhideWhenUsed/>
    <w:rsid w:val="0043179C"/>
    <w:rPr>
      <w:vertAlign w:val="superscript"/>
    </w:rPr>
  </w:style>
  <w:style w:type="character" w:customStyle="1" w:styleId="mixed-citation">
    <w:name w:val="mixed-citation"/>
    <w:basedOn w:val="DefaultParagraphFont"/>
    <w:rsid w:val="0043179C"/>
  </w:style>
  <w:style w:type="character" w:customStyle="1" w:styleId="ref-journal">
    <w:name w:val="ref-journal"/>
    <w:basedOn w:val="DefaultParagraphFont"/>
    <w:rsid w:val="00431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75310">
      <w:bodyDiv w:val="1"/>
      <w:marLeft w:val="0"/>
      <w:marRight w:val="0"/>
      <w:marTop w:val="0"/>
      <w:marBottom w:val="0"/>
      <w:divBdr>
        <w:top w:val="none" w:sz="0" w:space="0" w:color="auto"/>
        <w:left w:val="none" w:sz="0" w:space="0" w:color="auto"/>
        <w:bottom w:val="none" w:sz="0" w:space="0" w:color="auto"/>
        <w:right w:val="none" w:sz="0" w:space="0" w:color="auto"/>
      </w:divBdr>
    </w:div>
    <w:div w:id="1654291470">
      <w:bodyDiv w:val="1"/>
      <w:marLeft w:val="0"/>
      <w:marRight w:val="0"/>
      <w:marTop w:val="0"/>
      <w:marBottom w:val="0"/>
      <w:divBdr>
        <w:top w:val="none" w:sz="0" w:space="0" w:color="auto"/>
        <w:left w:val="none" w:sz="0" w:space="0" w:color="auto"/>
        <w:bottom w:val="none" w:sz="0" w:space="0" w:color="auto"/>
        <w:right w:val="none" w:sz="0" w:space="0" w:color="auto"/>
      </w:divBdr>
    </w:div>
    <w:div w:id="1797599028">
      <w:bodyDiv w:val="1"/>
      <w:marLeft w:val="0"/>
      <w:marRight w:val="0"/>
      <w:marTop w:val="0"/>
      <w:marBottom w:val="0"/>
      <w:divBdr>
        <w:top w:val="none" w:sz="0" w:space="0" w:color="auto"/>
        <w:left w:val="none" w:sz="0" w:space="0" w:color="auto"/>
        <w:bottom w:val="none" w:sz="0" w:space="0" w:color="auto"/>
        <w:right w:val="none" w:sz="0" w:space="0" w:color="auto"/>
      </w:divBdr>
      <w:divsChild>
        <w:div w:id="508181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pportyourlocalpharmacy.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arliament.uk/business/publications/business-papers/commons/early-day-motions/edm-detail1/?session=2015-16&amp;edmnumber=10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etition.parliament.uk/petitions/11694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pportyourlocalpharmacy.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nhsalliance.org/mediacentre/new-nhs-alliance-responds-to-predicted-pharmacy-closures/" TargetMode="External"/><Relationship Id="rId2" Type="http://schemas.openxmlformats.org/officeDocument/2006/relationships/hyperlink" Target="http://www.selfcareforum.org/wp-content/uploads/2011/07/Minorailmentsresearch09.pdf" TargetMode="External"/><Relationship Id="rId1" Type="http://schemas.openxmlformats.org/officeDocument/2006/relationships/hyperlink" Target="http://www.dh.gov.uk/en/Publicationsandstatistics/Publications/PublicationsPolicyAndGuidance/DH_083815" TargetMode="External"/></Relationships>
</file>

<file path=word/theme/theme1.xml><?xml version="1.0" encoding="utf-8"?>
<a:theme xmlns:a="http://schemas.openxmlformats.org/drawingml/2006/main" name="Office Theme">
  <a:themeElements>
    <a:clrScheme name="PSNC website colour swatch">
      <a:dk1>
        <a:sysClr val="windowText" lastClr="000000"/>
      </a:dk1>
      <a:lt1>
        <a:sysClr val="window" lastClr="FFFFFF"/>
      </a:lt1>
      <a:dk2>
        <a:srgbClr val="D58721"/>
      </a:dk2>
      <a:lt2>
        <a:srgbClr val="5185C0"/>
      </a:lt2>
      <a:accent1>
        <a:srgbClr val="4E3487"/>
      </a:accent1>
      <a:accent2>
        <a:srgbClr val="93378A"/>
      </a:accent2>
      <a:accent3>
        <a:srgbClr val="C3137B"/>
      </a:accent3>
      <a:accent4>
        <a:srgbClr val="F2E634"/>
      </a:accent4>
      <a:accent5>
        <a:srgbClr val="65922E"/>
      </a:accent5>
      <a:accent6>
        <a:srgbClr val="519680"/>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sammacAuslan</dc:creator>
  <cp:lastModifiedBy>Melinda Mabbutt</cp:lastModifiedBy>
  <cp:revision>22</cp:revision>
  <cp:lastPrinted>2016-02-09T16:30:00Z</cp:lastPrinted>
  <dcterms:created xsi:type="dcterms:W3CDTF">2016-02-09T14:01:00Z</dcterms:created>
  <dcterms:modified xsi:type="dcterms:W3CDTF">2016-02-09T17:33:00Z</dcterms:modified>
</cp:coreProperties>
</file>